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58D61">
      <w:pPr>
        <w:bidi w:val="0"/>
        <w:spacing w:line="360" w:lineRule="auto"/>
        <w:jc w:val="center"/>
        <w:rPr>
          <w:sz w:val="52"/>
          <w:szCs w:val="52"/>
        </w:rPr>
      </w:pPr>
    </w:p>
    <w:p w14:paraId="343EDC93">
      <w:pPr>
        <w:bidi w:val="0"/>
        <w:spacing w:line="360" w:lineRule="auto"/>
        <w:jc w:val="center"/>
        <w:rPr>
          <w:sz w:val="52"/>
          <w:szCs w:val="52"/>
        </w:rPr>
      </w:pPr>
    </w:p>
    <w:p w14:paraId="07910E29">
      <w:pPr>
        <w:bidi w:val="0"/>
        <w:spacing w:line="360" w:lineRule="auto"/>
        <w:jc w:val="center"/>
        <w:rPr>
          <w:sz w:val="52"/>
          <w:szCs w:val="52"/>
        </w:rPr>
      </w:pPr>
    </w:p>
    <w:p w14:paraId="13088800">
      <w:pPr>
        <w:bidi w:val="0"/>
        <w:spacing w:line="360" w:lineRule="auto"/>
        <w:jc w:val="center"/>
        <w:rPr>
          <w:sz w:val="52"/>
          <w:szCs w:val="52"/>
        </w:rPr>
      </w:pPr>
      <w:r>
        <w:rPr>
          <w:sz w:val="52"/>
          <w:szCs w:val="52"/>
        </w:rPr>
        <w:t>2023年度</w:t>
      </w:r>
      <w:r>
        <w:rPr>
          <w:rFonts w:hint="eastAsia"/>
          <w:sz w:val="52"/>
          <w:szCs w:val="52"/>
          <w:lang w:val="en-US" w:eastAsia="zh-CN"/>
        </w:rPr>
        <w:t>沅江市科学技术协会专家</w:t>
      </w:r>
      <w:r>
        <w:rPr>
          <w:rFonts w:hint="eastAsia" w:eastAsia="宋体"/>
          <w:sz w:val="52"/>
          <w:szCs w:val="52"/>
          <w:lang w:val="en-US" w:eastAsia="zh-CN"/>
        </w:rPr>
        <w:t>办公</w:t>
      </w:r>
      <w:r>
        <w:rPr>
          <w:rFonts w:hint="eastAsia"/>
          <w:sz w:val="52"/>
          <w:szCs w:val="52"/>
          <w:lang w:val="en-US" w:eastAsia="zh-CN"/>
        </w:rPr>
        <w:t>室建设</w:t>
      </w:r>
      <w:r>
        <w:rPr>
          <w:sz w:val="52"/>
          <w:szCs w:val="52"/>
        </w:rPr>
        <w:t>项目支出绩效评价报告</w:t>
      </w:r>
    </w:p>
    <w:p w14:paraId="2D0A96ED">
      <w:pPr>
        <w:spacing w:line="243" w:lineRule="auto"/>
        <w:rPr>
          <w:rFonts w:ascii="Arial"/>
          <w:sz w:val="21"/>
        </w:rPr>
      </w:pPr>
    </w:p>
    <w:p w14:paraId="290B249F">
      <w:pPr>
        <w:spacing w:line="243" w:lineRule="auto"/>
        <w:rPr>
          <w:rFonts w:ascii="Arial"/>
          <w:sz w:val="21"/>
        </w:rPr>
      </w:pPr>
    </w:p>
    <w:p w14:paraId="3DECF4A3">
      <w:pPr>
        <w:spacing w:line="243" w:lineRule="auto"/>
        <w:rPr>
          <w:rFonts w:ascii="Arial"/>
          <w:sz w:val="21"/>
        </w:rPr>
      </w:pPr>
    </w:p>
    <w:p w14:paraId="7FEA31F4">
      <w:pPr>
        <w:spacing w:line="243" w:lineRule="auto"/>
        <w:rPr>
          <w:rFonts w:ascii="Arial"/>
          <w:sz w:val="21"/>
        </w:rPr>
      </w:pPr>
    </w:p>
    <w:p w14:paraId="39194F0E">
      <w:pPr>
        <w:spacing w:line="243" w:lineRule="auto"/>
        <w:rPr>
          <w:rFonts w:ascii="Arial"/>
          <w:sz w:val="21"/>
        </w:rPr>
      </w:pPr>
    </w:p>
    <w:p w14:paraId="3974F16E">
      <w:pPr>
        <w:spacing w:line="243" w:lineRule="auto"/>
        <w:rPr>
          <w:rFonts w:ascii="Arial"/>
          <w:sz w:val="21"/>
        </w:rPr>
      </w:pPr>
    </w:p>
    <w:p w14:paraId="58022F59">
      <w:pPr>
        <w:spacing w:line="243" w:lineRule="auto"/>
        <w:rPr>
          <w:rFonts w:ascii="Arial"/>
          <w:sz w:val="21"/>
        </w:rPr>
      </w:pPr>
    </w:p>
    <w:p w14:paraId="1BCEC825">
      <w:pPr>
        <w:spacing w:line="243" w:lineRule="auto"/>
        <w:rPr>
          <w:rFonts w:ascii="Arial"/>
          <w:sz w:val="21"/>
        </w:rPr>
      </w:pPr>
    </w:p>
    <w:p w14:paraId="28318E86">
      <w:pPr>
        <w:spacing w:line="243" w:lineRule="auto"/>
        <w:rPr>
          <w:rFonts w:ascii="Arial"/>
          <w:sz w:val="21"/>
        </w:rPr>
      </w:pPr>
    </w:p>
    <w:p w14:paraId="03B2F32A">
      <w:pPr>
        <w:spacing w:line="243" w:lineRule="auto"/>
        <w:rPr>
          <w:rFonts w:ascii="Arial"/>
          <w:sz w:val="21"/>
        </w:rPr>
      </w:pPr>
    </w:p>
    <w:p w14:paraId="20971C4C">
      <w:pPr>
        <w:pStyle w:val="2"/>
        <w:rPr>
          <w:rFonts w:ascii="Arial"/>
          <w:sz w:val="21"/>
        </w:rPr>
      </w:pPr>
    </w:p>
    <w:p w14:paraId="45330678">
      <w:pPr>
        <w:pStyle w:val="3"/>
        <w:rPr>
          <w:rFonts w:ascii="Arial"/>
          <w:sz w:val="21"/>
        </w:rPr>
      </w:pPr>
    </w:p>
    <w:p w14:paraId="6DD78214">
      <w:pPr>
        <w:pStyle w:val="2"/>
        <w:rPr>
          <w:rFonts w:ascii="Arial"/>
          <w:sz w:val="21"/>
        </w:rPr>
      </w:pPr>
    </w:p>
    <w:p w14:paraId="27963116">
      <w:pPr>
        <w:pStyle w:val="3"/>
        <w:rPr>
          <w:rFonts w:ascii="Arial"/>
          <w:sz w:val="21"/>
        </w:rPr>
      </w:pPr>
    </w:p>
    <w:p w14:paraId="6BFBD28B">
      <w:pPr>
        <w:pStyle w:val="2"/>
        <w:rPr>
          <w:rFonts w:ascii="Arial"/>
          <w:sz w:val="21"/>
        </w:rPr>
      </w:pPr>
    </w:p>
    <w:p w14:paraId="6A0BE64C">
      <w:pPr>
        <w:pStyle w:val="3"/>
      </w:pPr>
    </w:p>
    <w:p w14:paraId="7F4D959D">
      <w:pPr>
        <w:spacing w:line="244" w:lineRule="auto"/>
        <w:rPr>
          <w:rFonts w:ascii="Arial"/>
          <w:sz w:val="21"/>
        </w:rPr>
      </w:pPr>
    </w:p>
    <w:p w14:paraId="742CA053">
      <w:pPr>
        <w:spacing w:line="244" w:lineRule="auto"/>
        <w:rPr>
          <w:rFonts w:ascii="Arial"/>
          <w:sz w:val="21"/>
        </w:rPr>
      </w:pPr>
    </w:p>
    <w:p w14:paraId="72B8997A">
      <w:pPr>
        <w:spacing w:line="244" w:lineRule="auto"/>
        <w:rPr>
          <w:rFonts w:ascii="Arial"/>
          <w:sz w:val="21"/>
        </w:rPr>
      </w:pPr>
    </w:p>
    <w:p w14:paraId="0D1F4040">
      <w:pPr>
        <w:spacing w:line="244" w:lineRule="auto"/>
        <w:rPr>
          <w:rFonts w:ascii="Arial"/>
          <w:sz w:val="21"/>
        </w:rPr>
      </w:pPr>
    </w:p>
    <w:p w14:paraId="6AA0687A">
      <w:pPr>
        <w:spacing w:line="244" w:lineRule="auto"/>
        <w:rPr>
          <w:rFonts w:ascii="Arial"/>
          <w:sz w:val="21"/>
        </w:rPr>
      </w:pPr>
    </w:p>
    <w:p w14:paraId="5AA33DDC">
      <w:pPr>
        <w:spacing w:line="244" w:lineRule="auto"/>
        <w:rPr>
          <w:rFonts w:ascii="Arial"/>
          <w:sz w:val="21"/>
        </w:rPr>
      </w:pPr>
    </w:p>
    <w:p w14:paraId="0B74DF06">
      <w:pPr>
        <w:spacing w:before="117" w:line="222" w:lineRule="auto"/>
        <w:ind w:firstLine="1132" w:firstLineChars="300"/>
        <w:rPr>
          <w:rFonts w:ascii="黑体" w:hAnsi="黑体" w:eastAsia="黑体" w:cs="黑体"/>
          <w:sz w:val="36"/>
          <w:szCs w:val="36"/>
        </w:rPr>
      </w:pPr>
      <w:r>
        <w:rPr>
          <w:rFonts w:ascii="黑体" w:hAnsi="黑体" w:eastAsia="黑体" w:cs="黑体"/>
          <w:b/>
          <w:bCs/>
          <w:spacing w:val="8"/>
          <w:sz w:val="36"/>
          <w:szCs w:val="36"/>
        </w:rPr>
        <w:t>部门(单位)名称</w:t>
      </w:r>
      <w:r>
        <w:rPr>
          <w:rFonts w:hint="eastAsia" w:ascii="黑体" w:hAnsi="黑体" w:eastAsia="黑体" w:cs="黑体"/>
          <w:b/>
          <w:bCs/>
          <w:spacing w:val="8"/>
          <w:sz w:val="36"/>
          <w:szCs w:val="36"/>
          <w:lang w:eastAsia="zh-CN"/>
        </w:rPr>
        <w:t>：</w:t>
      </w:r>
      <w:r>
        <w:rPr>
          <w:rFonts w:ascii="黑体" w:hAnsi="黑体" w:eastAsia="黑体" w:cs="黑体"/>
          <w:b/>
          <w:bCs/>
          <w:spacing w:val="8"/>
          <w:sz w:val="36"/>
          <w:szCs w:val="36"/>
        </w:rPr>
        <w:t>(盖章)</w:t>
      </w:r>
    </w:p>
    <w:p w14:paraId="41AC989E">
      <w:pPr>
        <w:spacing w:line="247" w:lineRule="auto"/>
        <w:rPr>
          <w:rFonts w:ascii="Arial"/>
          <w:sz w:val="21"/>
        </w:rPr>
      </w:pPr>
    </w:p>
    <w:p w14:paraId="726E6287">
      <w:pPr>
        <w:spacing w:line="248" w:lineRule="auto"/>
        <w:rPr>
          <w:rFonts w:ascii="Arial"/>
          <w:sz w:val="21"/>
        </w:rPr>
      </w:pPr>
    </w:p>
    <w:p w14:paraId="19F13757">
      <w:pPr>
        <w:spacing w:line="248" w:lineRule="auto"/>
        <w:rPr>
          <w:rFonts w:ascii="Arial"/>
          <w:sz w:val="21"/>
        </w:rPr>
      </w:pPr>
    </w:p>
    <w:p w14:paraId="04BACF25">
      <w:pPr>
        <w:spacing w:before="101" w:line="223" w:lineRule="auto"/>
        <w:ind w:left="3109"/>
        <w:rPr>
          <w:rFonts w:ascii="黑体" w:hAnsi="黑体" w:eastAsia="黑体" w:cs="黑体"/>
          <w:sz w:val="31"/>
          <w:szCs w:val="31"/>
        </w:rPr>
      </w:pPr>
      <w:r>
        <w:rPr>
          <w:rFonts w:ascii="黑体" w:hAnsi="黑体" w:eastAsia="黑体" w:cs="黑体"/>
          <w:b/>
          <w:bCs/>
          <w:spacing w:val="-15"/>
          <w:sz w:val="31"/>
          <w:szCs w:val="31"/>
        </w:rPr>
        <w:t>年</w:t>
      </w:r>
      <w:r>
        <w:rPr>
          <w:rFonts w:ascii="黑体" w:hAnsi="黑体" w:eastAsia="黑体" w:cs="黑体"/>
          <w:spacing w:val="43"/>
          <w:sz w:val="31"/>
          <w:szCs w:val="31"/>
        </w:rPr>
        <w:t xml:space="preserve">   </w:t>
      </w:r>
      <w:r>
        <w:rPr>
          <w:rFonts w:ascii="黑体" w:hAnsi="黑体" w:eastAsia="黑体" w:cs="黑体"/>
          <w:b/>
          <w:bCs/>
          <w:spacing w:val="-15"/>
          <w:sz w:val="31"/>
          <w:szCs w:val="31"/>
        </w:rPr>
        <w:t>月</w:t>
      </w:r>
      <w:r>
        <w:rPr>
          <w:rFonts w:ascii="黑体" w:hAnsi="黑体" w:eastAsia="黑体" w:cs="黑体"/>
          <w:spacing w:val="10"/>
          <w:sz w:val="31"/>
          <w:szCs w:val="31"/>
        </w:rPr>
        <w:t xml:space="preserve">    </w:t>
      </w:r>
      <w:r>
        <w:rPr>
          <w:rFonts w:ascii="黑体" w:hAnsi="黑体" w:eastAsia="黑体" w:cs="黑体"/>
          <w:b/>
          <w:bCs/>
          <w:spacing w:val="-15"/>
          <w:sz w:val="31"/>
          <w:szCs w:val="31"/>
        </w:rPr>
        <w:t>日</w:t>
      </w:r>
    </w:p>
    <w:p w14:paraId="1C2E0478">
      <w:pPr>
        <w:spacing w:line="273" w:lineRule="auto"/>
        <w:rPr>
          <w:rFonts w:ascii="Arial"/>
          <w:sz w:val="21"/>
        </w:rPr>
      </w:pPr>
    </w:p>
    <w:p w14:paraId="605F4B05">
      <w:pPr>
        <w:spacing w:line="274" w:lineRule="auto"/>
        <w:rPr>
          <w:rFonts w:ascii="Arial"/>
          <w:sz w:val="21"/>
        </w:rPr>
      </w:pPr>
    </w:p>
    <w:p w14:paraId="7E0D2E40">
      <w:pPr>
        <w:spacing w:line="274" w:lineRule="auto"/>
        <w:rPr>
          <w:rFonts w:ascii="Arial"/>
          <w:sz w:val="21"/>
        </w:rPr>
      </w:pPr>
    </w:p>
    <w:p w14:paraId="32E9133A">
      <w:pPr>
        <w:spacing w:line="274" w:lineRule="auto"/>
        <w:rPr>
          <w:rFonts w:ascii="Arial"/>
          <w:sz w:val="21"/>
        </w:rPr>
      </w:pPr>
    </w:p>
    <w:p w14:paraId="43F964C2">
      <w:pPr>
        <w:spacing w:line="274" w:lineRule="auto"/>
        <w:rPr>
          <w:rFonts w:ascii="Arial"/>
          <w:sz w:val="21"/>
        </w:rPr>
      </w:pPr>
    </w:p>
    <w:p w14:paraId="5782C939">
      <w:pPr>
        <w:bidi w:val="0"/>
        <w:spacing w:line="360" w:lineRule="auto"/>
        <w:jc w:val="center"/>
        <w:rPr>
          <w:sz w:val="52"/>
          <w:szCs w:val="52"/>
        </w:rPr>
      </w:pPr>
    </w:p>
    <w:p w14:paraId="087D6339">
      <w:pPr>
        <w:bidi w:val="0"/>
        <w:spacing w:line="360" w:lineRule="auto"/>
        <w:jc w:val="center"/>
        <w:rPr>
          <w:rFonts w:ascii="Arial"/>
          <w:sz w:val="21"/>
        </w:rPr>
      </w:pPr>
      <w:r>
        <w:rPr>
          <w:sz w:val="52"/>
          <w:szCs w:val="52"/>
        </w:rPr>
        <w:t>2023年度</w:t>
      </w:r>
      <w:r>
        <w:rPr>
          <w:rFonts w:hint="eastAsia"/>
          <w:sz w:val="52"/>
          <w:szCs w:val="52"/>
          <w:lang w:val="en-US" w:eastAsia="zh-CN"/>
        </w:rPr>
        <w:t>沅江市科学技术协会专家办公室建设</w:t>
      </w:r>
      <w:r>
        <w:rPr>
          <w:sz w:val="52"/>
          <w:szCs w:val="52"/>
        </w:rPr>
        <w:t>项目支出绩效评价报告</w:t>
      </w:r>
    </w:p>
    <w:p w14:paraId="775252AF">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一、项目支出基本情况</w:t>
      </w:r>
    </w:p>
    <w:p w14:paraId="55B0DF14">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(一)项目支出概况。</w:t>
      </w:r>
    </w:p>
    <w:p w14:paraId="6493FB35">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2023年协会专家办公室建设项目支出预算5万元，实际资金45万元，总开支40万元。</w:t>
      </w:r>
    </w:p>
    <w:p w14:paraId="3B418D9F">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(二)项目资金使用管理情况。</w:t>
      </w:r>
    </w:p>
    <w:p w14:paraId="46D3E84B">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强化预算执行，</w:t>
      </w:r>
      <w:r>
        <w:rPr>
          <w:rFonts w:hint="eastAsia" w:ascii="Times New Roman" w:hAnsi="Times New Roman" w:eastAsia="仿宋_GB2312" w:cs="Times New Roman"/>
          <w:sz w:val="28"/>
          <w:szCs w:val="28"/>
          <w:highlight w:val="none"/>
          <w:lang w:val="en-US" w:eastAsia="zh-CN"/>
        </w:rPr>
        <w:t>落实</w:t>
      </w:r>
      <w:r>
        <w:rPr>
          <w:rFonts w:hint="default" w:ascii="Times New Roman" w:hAnsi="Times New Roman" w:eastAsia="仿宋_GB2312" w:cs="Times New Roman"/>
          <w:sz w:val="28"/>
          <w:szCs w:val="28"/>
          <w:highlight w:val="none"/>
          <w:lang w:val="en-US" w:eastAsia="zh-CN"/>
        </w:rPr>
        <w:t>绩效目标</w:t>
      </w:r>
      <w:r>
        <w:rPr>
          <w:rFonts w:hint="eastAsia" w:ascii="Times New Roman" w:hAnsi="Times New Roman" w:eastAsia="仿宋_GB2312" w:cs="Times New Roman"/>
          <w:sz w:val="28"/>
          <w:szCs w:val="28"/>
          <w:highlight w:val="none"/>
          <w:lang w:val="en-US" w:eastAsia="zh-CN"/>
        </w:rPr>
        <w:t>完成。协会对专项</w:t>
      </w:r>
      <w:r>
        <w:rPr>
          <w:rFonts w:hint="default" w:ascii="Times New Roman" w:hAnsi="Times New Roman" w:eastAsia="仿宋_GB2312" w:cs="Times New Roman"/>
          <w:sz w:val="28"/>
          <w:szCs w:val="28"/>
          <w:highlight w:val="none"/>
          <w:lang w:val="en-US" w:eastAsia="zh-CN"/>
        </w:rPr>
        <w:t>资金</w:t>
      </w:r>
      <w:r>
        <w:rPr>
          <w:rFonts w:hint="eastAsia" w:ascii="Times New Roman" w:hAnsi="Times New Roman" w:eastAsia="仿宋_GB2312" w:cs="Times New Roman"/>
          <w:sz w:val="28"/>
          <w:szCs w:val="28"/>
          <w:highlight w:val="none"/>
          <w:lang w:val="en-US" w:eastAsia="zh-CN"/>
        </w:rPr>
        <w:t>的支出采取执行见票报账，</w:t>
      </w:r>
      <w:r>
        <w:rPr>
          <w:rFonts w:hint="default" w:ascii="Times New Roman" w:hAnsi="Times New Roman" w:eastAsia="仿宋_GB2312" w:cs="Times New Roman"/>
          <w:sz w:val="28"/>
          <w:szCs w:val="28"/>
          <w:highlight w:val="none"/>
          <w:lang w:val="en-US" w:eastAsia="zh-CN"/>
        </w:rPr>
        <w:t>监督管理</w:t>
      </w:r>
      <w:r>
        <w:rPr>
          <w:rFonts w:hint="eastAsia" w:ascii="Times New Roman" w:hAnsi="Times New Roman" w:eastAsia="仿宋_GB2312" w:cs="Times New Roman"/>
          <w:sz w:val="28"/>
          <w:szCs w:val="28"/>
          <w:highlight w:val="none"/>
          <w:lang w:val="en-US" w:eastAsia="zh-CN"/>
        </w:rPr>
        <w:t>每一笔专项资金使用的“来龙去脉”</w:t>
      </w:r>
      <w:r>
        <w:rPr>
          <w:rFonts w:hint="default" w:ascii="Times New Roman" w:hAnsi="Times New Roman" w:eastAsia="仿宋_GB2312" w:cs="Times New Roman"/>
          <w:sz w:val="28"/>
          <w:szCs w:val="28"/>
          <w:highlight w:val="none"/>
          <w:lang w:val="en-US" w:eastAsia="zh-CN"/>
        </w:rPr>
        <w:t>，从源头保证</w:t>
      </w:r>
      <w:r>
        <w:rPr>
          <w:rFonts w:hint="eastAsia" w:ascii="Times New Roman" w:hAnsi="Times New Roman" w:eastAsia="仿宋_GB2312" w:cs="Times New Roman"/>
          <w:sz w:val="28"/>
          <w:szCs w:val="28"/>
          <w:highlight w:val="none"/>
          <w:lang w:val="en-US" w:eastAsia="zh-CN"/>
        </w:rPr>
        <w:t>资金使用</w:t>
      </w:r>
      <w:r>
        <w:rPr>
          <w:rFonts w:hint="default" w:ascii="Times New Roman" w:hAnsi="Times New Roman" w:eastAsia="仿宋_GB2312" w:cs="Times New Roman"/>
          <w:sz w:val="28"/>
          <w:szCs w:val="28"/>
          <w:highlight w:val="none"/>
          <w:lang w:val="en-US" w:eastAsia="zh-CN"/>
        </w:rPr>
        <w:t>的规范性</w:t>
      </w:r>
      <w:r>
        <w:rPr>
          <w:rFonts w:hint="eastAsia" w:ascii="Times New Roman" w:hAnsi="Times New Roman" w:eastAsia="仿宋_GB2312" w:cs="Times New Roman"/>
          <w:sz w:val="28"/>
          <w:szCs w:val="28"/>
          <w:highlight w:val="none"/>
          <w:lang w:val="en-US" w:eastAsia="zh-CN"/>
        </w:rPr>
        <w:t>和</w:t>
      </w:r>
      <w:r>
        <w:rPr>
          <w:rFonts w:hint="default" w:ascii="Times New Roman" w:hAnsi="Times New Roman" w:eastAsia="仿宋_GB2312" w:cs="Times New Roman"/>
          <w:sz w:val="28"/>
          <w:szCs w:val="28"/>
          <w:highlight w:val="none"/>
          <w:lang w:val="en-US" w:eastAsia="zh-CN"/>
        </w:rPr>
        <w:t>合理性</w:t>
      </w:r>
      <w:r>
        <w:rPr>
          <w:rFonts w:hint="eastAsia" w:ascii="Times New Roman" w:hAnsi="Times New Roman"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lang w:val="en-US" w:eastAsia="zh-CN"/>
        </w:rPr>
        <w:t>确保项目的预算执行与绩效目标同步完成</w:t>
      </w:r>
      <w:r>
        <w:rPr>
          <w:rFonts w:hint="eastAsia" w:ascii="Times New Roman" w:hAnsi="Times New Roman" w:eastAsia="仿宋_GB2312" w:cs="Times New Roman"/>
          <w:sz w:val="28"/>
          <w:szCs w:val="28"/>
          <w:highlight w:val="none"/>
          <w:lang w:val="en-US" w:eastAsia="zh-CN"/>
        </w:rPr>
        <w:t>。</w:t>
      </w:r>
    </w:p>
    <w:p w14:paraId="6DD2D045">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(三)项目支出绩效目标完成程度。</w:t>
      </w:r>
    </w:p>
    <w:p w14:paraId="1BE96527">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完成了2022年建站专家工作站绩效评估。联合益阳市科协对马海有专家工作站（依托单位：湖南鑫海股份有限公司）、卢向阳专家工作站进行绩效评估（依托单位：沅江市芦小妹食品有限公司）分别获得20万元引导资金支持。其中卢向阳专家工作站获省级模范工作站荣誉。</w:t>
      </w:r>
    </w:p>
    <w:p w14:paraId="47F9050E">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二、绩效评价工作开展情况</w:t>
      </w:r>
    </w:p>
    <w:p w14:paraId="09AAF71C">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textAlignment w:val="baseline"/>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我单位较好地完成了2023年初设定的工作任务，专项项目得到有序开展。</w:t>
      </w:r>
    </w:p>
    <w:p w14:paraId="430659C5">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三、项目支出主要绩效及评价结论 </w:t>
      </w:r>
    </w:p>
    <w:p w14:paraId="6AF1DE54">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1、产出指标</w:t>
      </w:r>
    </w:p>
    <w:p w14:paraId="67E34805">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建立两个专家工作站；工作站合格验收率100%；以上工作均在2023年12月31日前完成。</w:t>
      </w:r>
    </w:p>
    <w:p w14:paraId="6E0AD64E">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2</w:t>
      </w:r>
      <w:r>
        <w:rPr>
          <w:rFonts w:hint="default" w:ascii="Times New Roman" w:hAnsi="Times New Roman" w:eastAsia="仿宋_GB2312" w:cs="Times New Roman"/>
          <w:sz w:val="28"/>
          <w:szCs w:val="28"/>
          <w:highlight w:val="none"/>
          <w:lang w:val="en-US" w:eastAsia="zh-CN"/>
        </w:rPr>
        <w:t>、</w:t>
      </w:r>
      <w:r>
        <w:rPr>
          <w:rFonts w:hint="eastAsia" w:ascii="Times New Roman" w:hAnsi="Times New Roman" w:eastAsia="仿宋_GB2312" w:cs="Times New Roman"/>
          <w:sz w:val="28"/>
          <w:szCs w:val="28"/>
          <w:highlight w:val="none"/>
          <w:lang w:val="en-US" w:eastAsia="zh-CN"/>
        </w:rPr>
        <w:t>效益指标</w:t>
      </w:r>
    </w:p>
    <w:p w14:paraId="17E698FA">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工作站绩效评估达标获取奖励40万；对营造良好的科技人才环境有显著促进作用。扩大在沅江的科技力量和科技成果转换，取得喜人成绩。</w:t>
      </w:r>
    </w:p>
    <w:p w14:paraId="786EE3B0">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3</w:t>
      </w:r>
      <w:r>
        <w:rPr>
          <w:rFonts w:hint="default" w:ascii="Times New Roman" w:hAnsi="Times New Roman" w:eastAsia="仿宋_GB2312" w:cs="Times New Roman"/>
          <w:sz w:val="28"/>
          <w:szCs w:val="28"/>
          <w:highlight w:val="none"/>
          <w:lang w:val="en-US" w:eastAsia="zh-CN"/>
        </w:rPr>
        <w:t>、</w:t>
      </w:r>
      <w:r>
        <w:rPr>
          <w:rFonts w:hint="eastAsia" w:ascii="Times New Roman" w:hAnsi="Times New Roman" w:eastAsia="仿宋_GB2312" w:cs="Times New Roman"/>
          <w:sz w:val="28"/>
          <w:szCs w:val="28"/>
          <w:highlight w:val="none"/>
          <w:lang w:val="en-US" w:eastAsia="zh-CN"/>
        </w:rPr>
        <w:t>项目完成成本</w:t>
      </w:r>
    </w:p>
    <w:p w14:paraId="41553E6B">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该项目因益阳市有配套资金下来，而本级资金因本级财政压减开支的原因，实际支付金额为40万元。</w:t>
      </w:r>
    </w:p>
    <w:p w14:paraId="2567F93E">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四、绩效评价指标分析</w:t>
      </w:r>
    </w:p>
    <w:p w14:paraId="57022CCB">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(一)项目支出决策情况</w:t>
      </w:r>
    </w:p>
    <w:p w14:paraId="7CD4B1D3">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根据协会工作要求，制定专项资金协助在沅专家的科学工作有序开展。</w:t>
      </w:r>
    </w:p>
    <w:p w14:paraId="45B12171">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(二)项目执行过程情况</w:t>
      </w:r>
    </w:p>
    <w:p w14:paraId="30D92A90">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本单位具有相应的项目资金管理办法，且符合相关财务会计制度的规定。项目调整及支出调整手续完备；项目合同书、验收报告、技术审定等资料齐全并基本能够及时归档；项目实施的人员条件、场地设备等基本落实到位；具有相应的项目质量要求。</w:t>
      </w:r>
    </w:p>
    <w:p w14:paraId="65B3BAB2">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(三)项目支出产出情况</w:t>
      </w:r>
    </w:p>
    <w:p w14:paraId="02B21220">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我单位较好地完成了2023年初设定的工作任务，各项专项项目得到有序开展。到年底项目实施已完成100%，项目验收完成率为100%。</w:t>
      </w:r>
    </w:p>
    <w:p w14:paraId="2565809D">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(四)项目支出效益情况</w:t>
      </w:r>
    </w:p>
    <w:p w14:paraId="1453E2FC">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完成两个工作站的绩效考核达标100%</w:t>
      </w:r>
      <w:r>
        <w:rPr>
          <w:rFonts w:hint="default" w:ascii="Times New Roman" w:hAnsi="Times New Roman" w:eastAsia="仿宋_GB2312" w:cs="Times New Roman"/>
          <w:sz w:val="28"/>
          <w:szCs w:val="28"/>
          <w:highlight w:val="none"/>
          <w:lang w:val="en-US" w:eastAsia="zh-CN"/>
        </w:rPr>
        <w:t>，</w:t>
      </w:r>
      <w:r>
        <w:rPr>
          <w:rFonts w:hint="eastAsia" w:ascii="Times New Roman" w:hAnsi="Times New Roman" w:eastAsia="仿宋_GB2312" w:cs="Times New Roman"/>
          <w:sz w:val="28"/>
          <w:szCs w:val="28"/>
          <w:highlight w:val="none"/>
          <w:lang w:val="en-US" w:eastAsia="zh-CN"/>
        </w:rPr>
        <w:t>促进了</w:t>
      </w:r>
      <w:r>
        <w:rPr>
          <w:rFonts w:hint="default" w:ascii="Times New Roman" w:hAnsi="Times New Roman" w:eastAsia="仿宋_GB2312" w:cs="Times New Roman"/>
          <w:sz w:val="28"/>
          <w:szCs w:val="28"/>
          <w:highlight w:val="none"/>
          <w:lang w:val="en-US" w:eastAsia="zh-CN"/>
        </w:rPr>
        <w:t>院士专家及其团队创新成果在沅转化工作</w:t>
      </w:r>
      <w:r>
        <w:rPr>
          <w:rFonts w:hint="eastAsia" w:ascii="Times New Roman" w:hAnsi="Times New Roman" w:eastAsia="仿宋_GB2312" w:cs="Times New Roman"/>
          <w:sz w:val="28"/>
          <w:szCs w:val="28"/>
          <w:highlight w:val="none"/>
          <w:lang w:val="en-US" w:eastAsia="zh-CN"/>
        </w:rPr>
        <w:t>。</w:t>
      </w:r>
    </w:p>
    <w:p w14:paraId="5E0FF806">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五、主要经验及做法、存在的问题及原因分析</w:t>
      </w:r>
    </w:p>
    <w:p w14:paraId="25DFB014">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1、严格遵守《会计法》和财经纪律，合理安排预算，建立和完善财务制度。</w:t>
      </w:r>
    </w:p>
    <w:p w14:paraId="253A14C3">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2、严格执行报销程序，把好票据审核关，及时付款。</w:t>
      </w:r>
    </w:p>
    <w:p w14:paraId="4AE0029C">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3、增强责任意识，进一步构筑</w:t>
      </w:r>
      <w:r>
        <w:rPr>
          <w:rFonts w:hint="eastAsia" w:ascii="仿宋" w:hAnsi="仿宋" w:eastAsia="仿宋" w:cs="仿宋"/>
          <w:sz w:val="28"/>
          <w:szCs w:val="28"/>
          <w:lang w:eastAsia="zh-CN"/>
        </w:rPr>
        <w:t>拒</w:t>
      </w:r>
      <w:r>
        <w:rPr>
          <w:rFonts w:hint="eastAsia" w:ascii="仿宋" w:hAnsi="仿宋" w:eastAsia="仿宋" w:cs="仿宋"/>
          <w:sz w:val="28"/>
          <w:szCs w:val="28"/>
        </w:rPr>
        <w:t>腐</w:t>
      </w:r>
      <w:r>
        <w:rPr>
          <w:rFonts w:hint="eastAsia" w:ascii="仿宋" w:hAnsi="仿宋" w:eastAsia="仿宋" w:cs="仿宋"/>
          <w:sz w:val="28"/>
          <w:szCs w:val="28"/>
          <w:lang w:eastAsia="zh-CN"/>
        </w:rPr>
        <w:t>防</w:t>
      </w:r>
      <w:bookmarkStart w:id="0" w:name="_GoBack"/>
      <w:bookmarkEnd w:id="0"/>
      <w:r>
        <w:rPr>
          <w:rFonts w:hint="eastAsia" w:ascii="仿宋" w:hAnsi="仿宋" w:eastAsia="仿宋" w:cs="仿宋"/>
          <w:sz w:val="28"/>
          <w:szCs w:val="28"/>
        </w:rPr>
        <w:t>变防线。</w:t>
      </w:r>
    </w:p>
    <w:p w14:paraId="537C614A">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4、强化效能监察，严格责任追究。</w:t>
      </w:r>
    </w:p>
    <w:p w14:paraId="1B034BCA">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5、各项开支严格执行中央《党政机关国内公务接待管理规定》及省委、省政府、市委、市政府相关规定，凭公函接待。</w:t>
      </w:r>
    </w:p>
    <w:p w14:paraId="27BC696A">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6、专项资金使用严格按照国库集中支付管理、行政事业单位会计制度规定和财政下达资金的使用范围管理和使用项目经费，做到专款专用，专人保管，单位领导对项目资金的使用进行全程监督，保证资金使用的合规性。重大资金使用均实行“三重一大”主任会集体研究制。资金使用无截留、挤占、挪用、虚列支出等情况。</w:t>
      </w:r>
    </w:p>
    <w:p w14:paraId="133ABF86">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六</w:t>
      </w:r>
      <w:r>
        <w:rPr>
          <w:rFonts w:hint="eastAsia" w:ascii="仿宋" w:hAnsi="仿宋" w:eastAsia="仿宋" w:cs="仿宋"/>
          <w:b/>
          <w:bCs/>
          <w:sz w:val="28"/>
          <w:szCs w:val="28"/>
          <w:lang w:eastAsia="zh-CN"/>
        </w:rPr>
        <w:t>、</w:t>
      </w:r>
      <w:r>
        <w:rPr>
          <w:rFonts w:hint="eastAsia" w:ascii="仿宋" w:hAnsi="仿宋" w:eastAsia="仿宋" w:cs="仿宋"/>
          <w:b/>
          <w:bCs/>
          <w:sz w:val="28"/>
          <w:szCs w:val="28"/>
        </w:rPr>
        <w:t>有关建议</w:t>
      </w:r>
    </w:p>
    <w:p w14:paraId="6C434171">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lang w:val="en-US" w:eastAsia="zh-CN"/>
        </w:rPr>
        <w:t>目前本级财政资金紧张，因此对项目支付的压力较大，还需要本级财政给予大力支持。</w:t>
      </w:r>
    </w:p>
    <w:p w14:paraId="5A0276F7">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七、其他需要说明的问题</w:t>
      </w:r>
    </w:p>
    <w:p w14:paraId="1A255CD2">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无。</w:t>
      </w:r>
    </w:p>
    <w:p w14:paraId="0E1C28B5">
      <w:pPr>
        <w:rPr>
          <w:rFonts w:hint="eastAsia" w:ascii="仿宋" w:hAnsi="仿宋" w:eastAsia="仿宋" w:cs="仿宋"/>
          <w:sz w:val="28"/>
          <w:szCs w:val="28"/>
        </w:rPr>
      </w:pPr>
      <w:r>
        <w:rPr>
          <w:rFonts w:hint="eastAsia" w:ascii="仿宋" w:hAnsi="仿宋" w:eastAsia="仿宋" w:cs="仿宋"/>
          <w:sz w:val="28"/>
          <w:szCs w:val="28"/>
        </w:rPr>
        <w:br w:type="page"/>
      </w:r>
    </w:p>
    <w:p w14:paraId="09D5C9A9">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报告应包括以下附件：</w:t>
      </w:r>
    </w:p>
    <w:p w14:paraId="4372B52C">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1、绩效评价基础数据汇总表</w:t>
      </w:r>
    </w:p>
    <w:p w14:paraId="3AD8A0AE">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2、绩效评价指标评分表</w:t>
      </w:r>
    </w:p>
    <w:p w14:paraId="6FE4FFBB">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p>
    <w:sectPr>
      <w:footerReference r:id="rId5" w:type="default"/>
      <w:pgSz w:w="11900" w:h="16830"/>
      <w:pgMar w:top="1430" w:right="1785" w:bottom="1298" w:left="1785" w:header="0" w:footer="99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501A1">
    <w:pPr>
      <w:spacing w:before="1" w:line="177" w:lineRule="auto"/>
      <w:ind w:left="3795"/>
      <w:rPr>
        <w:rFonts w:ascii="宋体" w:hAnsi="宋体" w:eastAsia="宋体" w:cs="宋体"/>
        <w:sz w:val="31"/>
        <w:szCs w:val="3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yZjZjZDE3YjVjYWJiNmI0OTIwMjE0MzYwYjE0ZjgifQ=="/>
  </w:docVars>
  <w:rsids>
    <w:rsidRoot w:val="09A90778"/>
    <w:rsid w:val="000354D4"/>
    <w:rsid w:val="0125366D"/>
    <w:rsid w:val="09A90778"/>
    <w:rsid w:val="0AF2596A"/>
    <w:rsid w:val="0F4A4828"/>
    <w:rsid w:val="1F2D7B6A"/>
    <w:rsid w:val="3EEA5803"/>
    <w:rsid w:val="41630D72"/>
    <w:rsid w:val="6EB31301"/>
    <w:rsid w:val="72714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5"/>
      <w:szCs w:val="35"/>
      <w:lang w:val="en-US" w:eastAsia="en-US" w:bidi="ar-SA"/>
    </w:rPr>
  </w:style>
  <w:style w:type="paragraph" w:styleId="3">
    <w:name w:val="Body Text First Indent"/>
    <w:basedOn w:val="2"/>
    <w:next w:val="2"/>
    <w:semiHidden/>
    <w:qFormat/>
    <w:uiPriority w:val="99"/>
    <w:pPr>
      <w:ind w:firstLine="420" w:firstLineChars="100"/>
    </w:pPr>
    <w:rPr>
      <w:rFonts w:cs="Times New Roman"/>
      <w:szCs w:val="24"/>
    </w:rPr>
  </w:style>
  <w:style w:type="paragraph" w:styleId="4">
    <w:name w:val="Normal Indent"/>
    <w:basedOn w:val="1"/>
    <w:autoRedefine/>
    <w:qFormat/>
    <w:uiPriority w:val="0"/>
    <w:pPr>
      <w:widowControl w:val="0"/>
      <w:ind w:firstLine="420" w:firstLineChars="200"/>
      <w:textAlignment w:val="auto"/>
    </w:p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1281</Words>
  <Characters>1321</Characters>
  <Lines>0</Lines>
  <Paragraphs>0</Paragraphs>
  <TotalTime>3</TotalTime>
  <ScaleCrop>false</ScaleCrop>
  <LinksUpToDate>false</LinksUpToDate>
  <CharactersWithSpaces>1339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2024-05-16T06:25:00Z</dcterms:created>
  <dc:creator>WPS_1609740157</dc:creator>
  <cp:lastModifiedBy>WPS_1641264062</cp:lastModifiedBy>
  <dcterms:modified xsi:type="dcterms:W3CDTF">2026-09-29T01:31:19Z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CF04097F21BC4957BF40FDF08938F171_11</vt:lpwstr>
  </property>
  <property fmtid="{D5CDD505-2E9C-101B-9397-08002B2CF9AE}" pid="4" name="KSOTemplateDocerSaveRecord">
    <vt:lpwstr>eyJoZGlkIjoiNGUzMzVkYjU4ZWI3ODU1ODkwMjA3M2Y2ZmU4NTRhMTYiLCJ1c2VySWQiOiIxMzEyOTkwNTIyIn0=</vt:lpwstr>
  </property>
</Properties>
</file>