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B4508">
      <w:pPr>
        <w:jc w:val="center"/>
        <w:rPr>
          <w:rFonts w:hint="eastAsia" w:eastAsia="方正小标宋_GBK"/>
          <w:sz w:val="48"/>
          <w:szCs w:val="48"/>
          <w:lang w:val="en-US" w:eastAsia="zh-CN"/>
        </w:rPr>
      </w:pPr>
    </w:p>
    <w:p w14:paraId="62BB27D9">
      <w:pPr>
        <w:jc w:val="center"/>
        <w:rPr>
          <w:rFonts w:hint="eastAsia" w:eastAsia="方正小标宋_GBK"/>
          <w:sz w:val="48"/>
          <w:szCs w:val="48"/>
          <w:lang w:val="en-US" w:eastAsia="zh-CN"/>
        </w:rPr>
      </w:pPr>
    </w:p>
    <w:p w14:paraId="6C72E380">
      <w:pPr>
        <w:jc w:val="center"/>
        <w:rPr>
          <w:rFonts w:eastAsia="方正小标宋_GBK"/>
          <w:sz w:val="48"/>
          <w:szCs w:val="48"/>
        </w:rPr>
      </w:pPr>
      <w:r>
        <w:rPr>
          <w:rFonts w:hint="eastAsia" w:eastAsia="方正小标宋_GBK"/>
          <w:sz w:val="48"/>
          <w:szCs w:val="48"/>
          <w:lang w:val="en-US" w:eastAsia="zh-CN"/>
        </w:rPr>
        <w:t>2024</w:t>
      </w:r>
      <w:r>
        <w:rPr>
          <w:rFonts w:eastAsia="方正小标宋_GBK"/>
          <w:sz w:val="48"/>
          <w:szCs w:val="48"/>
        </w:rPr>
        <w:t>年度</w:t>
      </w:r>
      <w:r>
        <w:rPr>
          <w:rFonts w:hint="eastAsia" w:eastAsia="方正小标宋_GBK"/>
          <w:sz w:val="48"/>
          <w:szCs w:val="48"/>
          <w:lang w:val="en-US" w:eastAsia="zh-CN"/>
        </w:rPr>
        <w:t>沅江市统计局</w:t>
      </w:r>
      <w:r>
        <w:rPr>
          <w:rFonts w:eastAsia="方正小标宋_GBK"/>
          <w:sz w:val="48"/>
          <w:szCs w:val="48"/>
        </w:rPr>
        <w:t>整体支出</w:t>
      </w:r>
    </w:p>
    <w:p w14:paraId="7395CFA6">
      <w:pPr>
        <w:jc w:val="center"/>
        <w:rPr>
          <w:rFonts w:eastAsia="方正小标宋_GBK"/>
          <w:sz w:val="48"/>
          <w:szCs w:val="48"/>
        </w:rPr>
      </w:pPr>
      <w:r>
        <w:rPr>
          <w:rFonts w:eastAsia="方正小标宋_GBK"/>
          <w:sz w:val="48"/>
          <w:szCs w:val="48"/>
        </w:rPr>
        <w:t>绩效自评报告</w:t>
      </w:r>
    </w:p>
    <w:p w14:paraId="2A9CE667">
      <w:pPr>
        <w:jc w:val="center"/>
        <w:rPr>
          <w:rFonts w:eastAsia="黑体"/>
          <w:sz w:val="32"/>
          <w:szCs w:val="32"/>
        </w:rPr>
      </w:pPr>
    </w:p>
    <w:p w14:paraId="290B5935">
      <w:pPr>
        <w:jc w:val="center"/>
        <w:rPr>
          <w:rFonts w:eastAsia="黑体"/>
          <w:sz w:val="32"/>
          <w:szCs w:val="32"/>
        </w:rPr>
      </w:pPr>
    </w:p>
    <w:p w14:paraId="5ADCC65C">
      <w:pPr>
        <w:jc w:val="center"/>
        <w:rPr>
          <w:rFonts w:eastAsia="黑体"/>
          <w:sz w:val="32"/>
          <w:szCs w:val="32"/>
        </w:rPr>
      </w:pPr>
    </w:p>
    <w:p w14:paraId="4CA66A62">
      <w:pPr>
        <w:jc w:val="center"/>
        <w:rPr>
          <w:rFonts w:eastAsia="黑体"/>
          <w:sz w:val="32"/>
          <w:szCs w:val="32"/>
        </w:rPr>
      </w:pPr>
    </w:p>
    <w:p w14:paraId="140B3EE6">
      <w:pPr>
        <w:jc w:val="center"/>
        <w:rPr>
          <w:rFonts w:eastAsia="黑体"/>
          <w:sz w:val="32"/>
          <w:szCs w:val="32"/>
        </w:rPr>
      </w:pPr>
    </w:p>
    <w:p w14:paraId="3D8C57B8">
      <w:pPr>
        <w:jc w:val="center"/>
        <w:rPr>
          <w:rFonts w:eastAsia="黑体"/>
          <w:sz w:val="32"/>
          <w:szCs w:val="32"/>
        </w:rPr>
      </w:pPr>
    </w:p>
    <w:p w14:paraId="54BE270C">
      <w:pPr>
        <w:jc w:val="center"/>
        <w:rPr>
          <w:rFonts w:eastAsia="黑体"/>
          <w:sz w:val="32"/>
          <w:szCs w:val="32"/>
        </w:rPr>
      </w:pPr>
    </w:p>
    <w:p w14:paraId="116AE999">
      <w:pPr>
        <w:ind w:firstLine="880" w:firstLineChars="200"/>
        <w:jc w:val="center"/>
        <w:rPr>
          <w:rFonts w:eastAsia="黑体"/>
          <w:sz w:val="44"/>
          <w:szCs w:val="44"/>
        </w:rPr>
      </w:pPr>
    </w:p>
    <w:p w14:paraId="6077184E">
      <w:pPr>
        <w:ind w:firstLine="880" w:firstLineChars="200"/>
        <w:jc w:val="center"/>
        <w:rPr>
          <w:rFonts w:eastAsia="黑体"/>
          <w:sz w:val="44"/>
          <w:szCs w:val="44"/>
        </w:rPr>
      </w:pPr>
    </w:p>
    <w:p w14:paraId="2170A5AE">
      <w:pPr>
        <w:ind w:firstLine="720" w:firstLineChars="200"/>
        <w:jc w:val="both"/>
        <w:rPr>
          <w:rFonts w:hint="eastAsia" w:eastAsia="黑体"/>
          <w:sz w:val="36"/>
          <w:szCs w:val="36"/>
          <w:lang w:eastAsia="zh-CN"/>
        </w:rPr>
      </w:pPr>
    </w:p>
    <w:p w14:paraId="7D99EF19">
      <w:pPr>
        <w:ind w:firstLine="720" w:firstLineChars="200"/>
        <w:jc w:val="both"/>
        <w:rPr>
          <w:rFonts w:hint="eastAsia" w:eastAsia="黑体"/>
          <w:sz w:val="36"/>
          <w:szCs w:val="36"/>
          <w:lang w:eastAsia="zh-CN"/>
        </w:rPr>
      </w:pPr>
    </w:p>
    <w:p w14:paraId="59153916">
      <w:pPr>
        <w:ind w:firstLine="1080" w:firstLineChars="300"/>
        <w:jc w:val="both"/>
        <w:rPr>
          <w:rFonts w:hint="default" w:eastAsia="黑体"/>
          <w:sz w:val="36"/>
          <w:szCs w:val="36"/>
          <w:u w:val="single"/>
          <w:lang w:val="en-US" w:eastAsia="zh-CN"/>
        </w:rPr>
      </w:pPr>
      <w:r>
        <w:rPr>
          <w:rFonts w:hint="eastAsia" w:eastAsia="黑体"/>
          <w:sz w:val="36"/>
          <w:szCs w:val="36"/>
          <w:lang w:eastAsia="zh-CN"/>
        </w:rPr>
        <w:t>部门（</w:t>
      </w:r>
      <w:r>
        <w:rPr>
          <w:rFonts w:eastAsia="黑体"/>
          <w:sz w:val="36"/>
          <w:szCs w:val="36"/>
        </w:rPr>
        <w:t>单位</w:t>
      </w:r>
      <w:r>
        <w:rPr>
          <w:rFonts w:hint="eastAsia" w:eastAsia="黑体"/>
          <w:sz w:val="36"/>
          <w:szCs w:val="36"/>
          <w:lang w:eastAsia="zh-CN"/>
        </w:rPr>
        <w:t>）</w:t>
      </w:r>
      <w:r>
        <w:rPr>
          <w:rFonts w:eastAsia="黑体"/>
          <w:sz w:val="36"/>
          <w:szCs w:val="36"/>
        </w:rPr>
        <w:t>名称：</w:t>
      </w:r>
      <w:r>
        <w:rPr>
          <w:rFonts w:hint="eastAsia" w:eastAsia="黑体"/>
          <w:sz w:val="36"/>
          <w:szCs w:val="36"/>
          <w:u w:val="single"/>
          <w:lang w:val="en-US" w:eastAsia="zh-CN"/>
        </w:rPr>
        <w:t xml:space="preserve"> 沅江市统计局 </w:t>
      </w:r>
      <w:r>
        <w:rPr>
          <w:rFonts w:hint="eastAsia" w:eastAsia="黑体"/>
          <w:sz w:val="36"/>
          <w:szCs w:val="36"/>
          <w:u w:val="none"/>
          <w:lang w:val="en-US" w:eastAsia="zh-CN"/>
        </w:rPr>
        <w:t xml:space="preserve">  </w:t>
      </w:r>
    </w:p>
    <w:p w14:paraId="2C37D243">
      <w:pPr>
        <w:ind w:firstLine="3240" w:firstLineChars="900"/>
        <w:jc w:val="both"/>
        <w:rPr>
          <w:rFonts w:hint="eastAsia" w:eastAsia="黑体"/>
          <w:sz w:val="36"/>
          <w:szCs w:val="36"/>
          <w:u w:val="none"/>
          <w:lang w:val="en-US" w:eastAsia="zh-CN"/>
        </w:rPr>
      </w:pPr>
    </w:p>
    <w:p w14:paraId="54756D99">
      <w:pPr>
        <w:jc w:val="center"/>
        <w:rPr>
          <w:rFonts w:hint="eastAsia" w:eastAsia="黑体"/>
          <w:sz w:val="36"/>
          <w:szCs w:val="36"/>
          <w:u w:val="none"/>
          <w:lang w:val="en-US" w:eastAsia="zh-CN"/>
        </w:rPr>
      </w:pPr>
      <w:r>
        <w:rPr>
          <w:rFonts w:hint="eastAsia" w:eastAsia="黑体"/>
          <w:sz w:val="36"/>
          <w:szCs w:val="36"/>
          <w:u w:val="none"/>
          <w:lang w:val="en-US" w:eastAsia="zh-CN"/>
        </w:rPr>
        <w:t>2025年 5月22 日</w:t>
      </w:r>
    </w:p>
    <w:p w14:paraId="1A415B35">
      <w:pPr>
        <w:pStyle w:val="12"/>
        <w:rPr>
          <w:rFonts w:hint="eastAsia" w:eastAsia="黑体"/>
          <w:sz w:val="36"/>
          <w:szCs w:val="36"/>
          <w:u w:val="none"/>
          <w:lang w:val="en-US" w:eastAsia="zh-CN"/>
        </w:rPr>
      </w:pPr>
    </w:p>
    <w:p w14:paraId="6EB52E87">
      <w:pPr>
        <w:pStyle w:val="12"/>
        <w:rPr>
          <w:rFonts w:hint="eastAsia" w:eastAsia="黑体"/>
          <w:sz w:val="36"/>
          <w:szCs w:val="36"/>
          <w:u w:val="none"/>
          <w:lang w:val="en-US" w:eastAsia="zh-CN"/>
        </w:rPr>
      </w:pPr>
    </w:p>
    <w:p w14:paraId="7AB59764">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sz w:val="44"/>
          <w:szCs w:val="44"/>
        </w:rPr>
      </w:pPr>
    </w:p>
    <w:p w14:paraId="5377240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20</w:t>
      </w:r>
      <w:r>
        <w:rPr>
          <w:rFonts w:hint="eastAsia" w:ascii="方正小标宋简体" w:hAnsi="方正小标宋简体" w:eastAsia="方正小标宋简体" w:cs="方正小标宋简体"/>
          <w:b w:val="0"/>
          <w:bCs/>
          <w:sz w:val="44"/>
          <w:szCs w:val="44"/>
          <w:lang w:val="en-US" w:eastAsia="zh-CN"/>
        </w:rPr>
        <w:t>24</w:t>
      </w:r>
      <w:r>
        <w:rPr>
          <w:rFonts w:hint="eastAsia" w:ascii="方正小标宋简体" w:hAnsi="方正小标宋简体" w:eastAsia="方正小标宋简体" w:cs="方正小标宋简体"/>
          <w:b w:val="0"/>
          <w:bCs/>
          <w:sz w:val="44"/>
          <w:szCs w:val="44"/>
        </w:rPr>
        <w:t>年度沅江市统计局部门整体支出</w:t>
      </w:r>
    </w:p>
    <w:p w14:paraId="40FE4BC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绩效</w:t>
      </w:r>
      <w:r>
        <w:rPr>
          <w:rFonts w:hint="eastAsia" w:ascii="方正小标宋简体" w:hAnsi="方正小标宋简体" w:eastAsia="方正小标宋简体" w:cs="方正小标宋简体"/>
          <w:b w:val="0"/>
          <w:bCs/>
          <w:sz w:val="44"/>
          <w:szCs w:val="44"/>
          <w:lang w:val="en-US" w:eastAsia="zh-CN"/>
        </w:rPr>
        <w:t>自评</w:t>
      </w:r>
      <w:r>
        <w:rPr>
          <w:rFonts w:hint="eastAsia" w:ascii="方正小标宋简体" w:hAnsi="方正小标宋简体" w:eastAsia="方正小标宋简体" w:cs="方正小标宋简体"/>
          <w:b w:val="0"/>
          <w:bCs/>
          <w:sz w:val="44"/>
          <w:szCs w:val="44"/>
        </w:rPr>
        <w:t>报告</w:t>
      </w:r>
    </w:p>
    <w:p w14:paraId="4E4B3DBE">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一、部门基本情况</w:t>
      </w:r>
    </w:p>
    <w:p w14:paraId="6D362DF5">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（一）部门基本情况及2024年度本部门履职情况</w:t>
      </w:r>
    </w:p>
    <w:p w14:paraId="29C4E2AC">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1、机构设置情况</w:t>
      </w:r>
    </w:p>
    <w:p w14:paraId="76B74443">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根据2019年编办三定方案、沅编办发[2020]19号及沅编办发[2021]7号文件，沅江市统计局设置办公室、法规检查股、综合统计股、经济统计股四个股室。下设城乡调查队、普查中心两个二级机构。</w:t>
      </w:r>
    </w:p>
    <w:p w14:paraId="119D9D68">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2、人员情况</w:t>
      </w:r>
    </w:p>
    <w:p w14:paraId="1CF30A69">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2024年我单位共有编制数26人。截止2024年12月31日，实有在职人员23人，退休人员16人。</w:t>
      </w:r>
    </w:p>
    <w:p w14:paraId="786E5CA3">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3、主要工作职责</w:t>
      </w:r>
    </w:p>
    <w:p w14:paraId="238C51CA">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（1）贯彻执行统计工作的法律、法规和政策；检查监督统计法规的实施情况，对全市统计单位进行督查，查处各类统计违法行为；研究统计制度和统计方法改革；完成国家统计调查任务。</w:t>
      </w:r>
    </w:p>
    <w:p w14:paraId="7354F449">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（2）负责全市国民经济和社会发展的调查、统计和分析；制定全市统计工作计划、统计调查方案并组织实施。</w:t>
      </w:r>
    </w:p>
    <w:p w14:paraId="2AAB0022">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（3）完成全国、全省性的各类普查任务、专项调查任务和抽样调查任务。</w:t>
      </w:r>
    </w:p>
    <w:p w14:paraId="5E95F08C">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（4）为市委、市人民政府决策提供依据；编制国民经济和社会发展情况；进行统计分析、统计调研、统计检查和监督；向市委、市人民政府及其有关部门提供统计信息和咨询建议。</w:t>
      </w:r>
    </w:p>
    <w:p w14:paraId="157AB191">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（5）统计核定、管理、公布全市经济、社会、科技的基本统计资料；定期发布全市国民经济和社会发展情况统计公报及有关普查和专项调查公报；发布社会经济统计信息。</w:t>
      </w:r>
    </w:p>
    <w:p w14:paraId="743DF5CD">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（6）执行统计法规，并实施检查监督；维护统计部门和统计工作者的合法权利，查处各种违反统计法规的行为。</w:t>
      </w:r>
    </w:p>
    <w:p w14:paraId="375C94D3">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（7）管理或代为管理城市、农村、企业调查队和普查中心，组织协调全市城市、农村、企业调查工作和各项普查工作。</w:t>
      </w:r>
    </w:p>
    <w:p w14:paraId="59A2EF5A">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（8）负责全市统计基础工作建设；组织指导全市统计宣传、统计教育、统计职称和统计人员培训工作。</w:t>
      </w:r>
    </w:p>
    <w:p w14:paraId="2B963065">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（9）承办市委、市人民政府及上级业务部门交办的其他事项。</w:t>
      </w:r>
    </w:p>
    <w:p w14:paraId="17045F5F">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（二）部门年度整体支出绩效目标，专项资金绩效目标</w:t>
      </w:r>
    </w:p>
    <w:p w14:paraId="51215D56">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部门整体支出绩效目标</w:t>
      </w:r>
    </w:p>
    <w:p w14:paraId="6286133D">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（1）完成国家、地方统计调查任务，组织领导和协调全市统计工作，确保数据真实、准确、及时、完整。</w:t>
      </w:r>
    </w:p>
    <w:p w14:paraId="2D318515">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（2）制定并组织实施全市统计改革和统计现代化建设规划及统计调查计划，会同有关部门拟定重大区情区力普查计划与方案。</w:t>
      </w:r>
    </w:p>
    <w:p w14:paraId="43F39823">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（3）组织实施全市统计业务日常工作，对开展的重要统计工作进行部署、审核、监控。</w:t>
      </w:r>
    </w:p>
    <w:p w14:paraId="328F4909">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项目支出绩效目标</w:t>
      </w:r>
    </w:p>
    <w:p w14:paraId="3FC79151">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（1）按普查方案做好第五次全国经济普查各项工作。</w:t>
      </w:r>
    </w:p>
    <w:p w14:paraId="197F3004">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（2）提升统计监督效能；开展日常统计执法，完成交办的统计执法案件和统计督察工作；做好统计执法宣传。</w:t>
      </w:r>
    </w:p>
    <w:p w14:paraId="01F12C42">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（3）完成常规性调查工作。保障各专业的常规统计调查工作；保障小型调查项目的开展；做好统计分析及政策咨询建议，为地方政府提供决策依据；提供优质的统计服务。</w:t>
      </w:r>
    </w:p>
    <w:p w14:paraId="6CFFB6F6">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（4）完成各级党委、政府交办的民意调查项目；提高统计调查能力，扩大民意调查影响力；进行数据分析研究。</w:t>
      </w:r>
    </w:p>
    <w:p w14:paraId="624C339D">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（5）维护联网直报平台运行稳定；做好统计数据质量监管。</w:t>
      </w:r>
    </w:p>
    <w:p w14:paraId="7E9D7371">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（6）开展基层统计工作规范化建设；开展数据质量监管平台建设；完成上级布置的其他工作任务。</w:t>
      </w:r>
    </w:p>
    <w:p w14:paraId="6F2B1896">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二、一般公共预算支出情况</w:t>
      </w:r>
    </w:p>
    <w:p w14:paraId="02B7313F">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我局收入合计447.61万元，其中：年初预算收入297.93万元，比上年减少31.49万元，降低9.56%。年度执行中因单位人数变动及单位事权调整，收入全年预算数为447.61万元，其中一般公共预算财政拨款收入全年预算数为417.18万元，其他收入全年预算数为30.43万元。调整原因：1、人员经费增加，2024年本单位新考录2人，在职人数比2023年多2人，人员工资福利支出相应增加；2、年中追加预算：第五次全国经济普查第二批经费 57.00万元，第五次全国经济普查2024年度经费18.97万元；3、预算内收2023年真抓实干奖励本级资金（工业专项）4.00万元，收2023年真抓实干奖励本级资金（工业专项）先进制造业高质量发展先进单位0.78万元；4、收湘财建指〔2024〕0062号2024年省预算内基建专项资金2.00万元，益财行指〔2024〕0195号重点项目第五次全国经济普查2023年“五经普”成效明显地区奖励10.00万元，湘财行指〔2023〕0069号提前下达2024年基层统计调查补助经费1.00万元，湘财预〔2023〕0324号提前下达2024年产粮大县奖励资金2.00万元；5、特设专户收益阳市统计局拨一般行政管理事务经费1.00万元、专项普查活动经费2.00万元，收国家统计局益阳调查队委托业务费3.93万元，收郭昂、李运芳退还重复报销差旅费0.06万元 ，收2022年党费返还款0.19万元、2024年党费返还款0.23万元，收社保中心付退休人员原试点3%退费8.02万元，收农业局转拨湘财预（2023）0002号15.00万元。上年年末结转0.02万元。</w:t>
      </w:r>
    </w:p>
    <w:p w14:paraId="174EFFC7">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2024年支出合计447.62万元，其中：基本</w:t>
      </w:r>
      <w:r>
        <w:rPr>
          <w:rFonts w:hint="eastAsia" w:ascii="仿宋_GB2312" w:hAnsi="仿宋_GB2312" w:eastAsia="仿宋_GB2312" w:cs="仿宋_GB2312"/>
          <w:sz w:val="32"/>
          <w:szCs w:val="32"/>
          <w:lang w:val="zh-CN" w:eastAsia="zh-CN"/>
        </w:rPr>
        <w:t>支出</w:t>
      </w:r>
      <w:r>
        <w:rPr>
          <w:rFonts w:hint="eastAsia" w:ascii="仿宋_GB2312" w:hAnsi="仿宋_GB2312" w:eastAsia="仿宋_GB2312" w:cs="仿宋_GB2312"/>
          <w:sz w:val="32"/>
          <w:szCs w:val="32"/>
          <w:lang w:val="en-US" w:eastAsia="zh-CN"/>
        </w:rPr>
        <w:t>262.73万元；项目支出184.90万元。</w:t>
      </w:r>
    </w:p>
    <w:p w14:paraId="5E12391D">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（一）基本支出情况</w:t>
      </w:r>
    </w:p>
    <w:p w14:paraId="3BAE944A">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我局基本支出共计262.73万元，其中，工资福利支出244.63万元，对个人和家庭的补助支出9.93万元，日常公用经费支出8.17万元。基本支出主要用于维持机关基本运转而发生的各项支出，包括用于基本工资、津贴补贴、社会保障缴费等人员性经费和办公费、印刷费、差旅费、公务接待、公务车运行等日常公用经费等支出。</w:t>
      </w:r>
    </w:p>
    <w:p w14:paraId="4CF6A9CC">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2024年我局基本支出年初预算230.73万元，全年预算数262.73万元，决算数262.73万元，预算执行率100%。</w:t>
      </w:r>
    </w:p>
    <w:p w14:paraId="293079A4">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（二）项目支出情况</w:t>
      </w:r>
    </w:p>
    <w:p w14:paraId="0877BE5D">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2024年我局业务类项目支出共计184.90万元。其中：一般行政管理事务支出7.21万元，专项统计业务支出63.02万元，专项普查活动支出87.97万元，统计抽样调查支出19.92万元，其他科学技术支出4.78万元，其他发展与改革事务支出2万元。主要用于统计年鉴印刷、专项工作、住户调查、“企业一套表”联网直报、粮食产量抽样调查、经济普查、高质量发展等工作的开展。    </w:t>
      </w:r>
    </w:p>
    <w:p w14:paraId="4B191844">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2024年我局业务类项目支出年初预算数67.20万元，全年预算数184.90万元，决算数184.90万元，预算执行率100%。具体如下：</w:t>
      </w:r>
    </w:p>
    <w:tbl>
      <w:tblPr>
        <w:tblStyle w:val="17"/>
        <w:tblW w:w="929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0"/>
        <w:gridCol w:w="3573"/>
        <w:gridCol w:w="1365"/>
        <w:gridCol w:w="1200"/>
        <w:gridCol w:w="1290"/>
        <w:gridCol w:w="1050"/>
      </w:tblGrid>
      <w:tr w14:paraId="4D34A5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jc w:val="center"/>
        </w:trPr>
        <w:tc>
          <w:tcPr>
            <w:tcW w:w="820" w:type="dxa"/>
            <w:vAlign w:val="top"/>
          </w:tcPr>
          <w:p w14:paraId="05FF5486">
            <w:pPr>
              <w:spacing w:before="218" w:line="230" w:lineRule="auto"/>
              <w:ind w:left="115"/>
              <w:jc w:val="center"/>
              <w:rPr>
                <w:rFonts w:ascii="宋体" w:hAnsi="宋体" w:eastAsia="宋体" w:cs="宋体"/>
                <w:sz w:val="20"/>
                <w:szCs w:val="20"/>
              </w:rPr>
            </w:pPr>
            <w:r>
              <w:rPr>
                <w:rFonts w:ascii="宋体" w:hAnsi="宋体" w:eastAsia="宋体" w:cs="宋体"/>
                <w:color w:val="333333"/>
                <w:spacing w:val="6"/>
                <w:sz w:val="20"/>
                <w:szCs w:val="20"/>
                <w14:textOutline w14:w="3795" w14:cap="sq" w14:cmpd="sng">
                  <w14:solidFill>
                    <w14:srgbClr w14:val="333333"/>
                  </w14:solidFill>
                  <w14:prstDash w14:val="solid"/>
                  <w14:bevel/>
                </w14:textOutline>
              </w:rPr>
              <w:t>序号</w:t>
            </w:r>
          </w:p>
        </w:tc>
        <w:tc>
          <w:tcPr>
            <w:tcW w:w="3573" w:type="dxa"/>
            <w:vAlign w:val="top"/>
          </w:tcPr>
          <w:p w14:paraId="02992541">
            <w:pPr>
              <w:spacing w:before="219" w:line="229" w:lineRule="auto"/>
              <w:jc w:val="center"/>
              <w:rPr>
                <w:rFonts w:ascii="宋体" w:hAnsi="宋体" w:eastAsia="宋体" w:cs="宋体"/>
                <w:sz w:val="20"/>
                <w:szCs w:val="20"/>
              </w:rPr>
            </w:pPr>
            <w:r>
              <w:rPr>
                <w:rFonts w:ascii="宋体" w:hAnsi="宋体" w:eastAsia="宋体" w:cs="宋体"/>
                <w:color w:val="333333"/>
                <w:spacing w:val="7"/>
                <w:sz w:val="20"/>
                <w:szCs w:val="20"/>
                <w14:textOutline w14:w="3795" w14:cap="sq" w14:cmpd="sng">
                  <w14:solidFill>
                    <w14:srgbClr w14:val="333333"/>
                  </w14:solidFill>
                  <w14:prstDash w14:val="solid"/>
                  <w14:bevel/>
                </w14:textOutline>
              </w:rPr>
              <w:t>项目名称</w:t>
            </w:r>
          </w:p>
        </w:tc>
        <w:tc>
          <w:tcPr>
            <w:tcW w:w="1365" w:type="dxa"/>
            <w:vAlign w:val="center"/>
          </w:tcPr>
          <w:p w14:paraId="0697C760">
            <w:pPr>
              <w:spacing w:before="58" w:line="262" w:lineRule="auto"/>
              <w:ind w:left="130" w:right="109" w:hanging="8"/>
              <w:jc w:val="center"/>
              <w:rPr>
                <w:rFonts w:hint="default" w:ascii="宋体" w:hAnsi="宋体" w:eastAsia="宋体" w:cs="宋体"/>
                <w:color w:val="333333"/>
                <w:spacing w:val="8"/>
                <w:sz w:val="20"/>
                <w:szCs w:val="20"/>
                <w:lang w:val="en-US" w:eastAsia="zh-CN"/>
                <w14:textOutline w14:w="3795" w14:cap="sq" w14:cmpd="sng">
                  <w14:solidFill>
                    <w14:srgbClr w14:val="333333"/>
                  </w14:solidFill>
                  <w14:prstDash w14:val="solid"/>
                  <w14:bevel/>
                </w14:textOutline>
              </w:rPr>
            </w:pPr>
            <w:r>
              <w:rPr>
                <w:rFonts w:hint="eastAsia" w:ascii="宋体" w:hAnsi="宋体" w:eastAsia="宋体" w:cs="宋体"/>
                <w:color w:val="333333"/>
                <w:spacing w:val="8"/>
                <w:sz w:val="20"/>
                <w:szCs w:val="20"/>
                <w:lang w:val="en-US" w:eastAsia="zh-CN"/>
                <w14:textOutline w14:w="3795" w14:cap="sq" w14:cmpd="sng">
                  <w14:solidFill>
                    <w14:srgbClr w14:val="333333"/>
                  </w14:solidFill>
                  <w14:prstDash w14:val="solid"/>
                  <w14:bevel/>
                </w14:textOutline>
              </w:rPr>
              <w:t>年初预算</w:t>
            </w:r>
          </w:p>
        </w:tc>
        <w:tc>
          <w:tcPr>
            <w:tcW w:w="1200" w:type="dxa"/>
            <w:vAlign w:val="center"/>
          </w:tcPr>
          <w:p w14:paraId="163FF082">
            <w:pPr>
              <w:spacing w:before="58" w:line="262" w:lineRule="auto"/>
              <w:ind w:left="130" w:right="109" w:hanging="8"/>
              <w:jc w:val="center"/>
              <w:rPr>
                <w:rFonts w:ascii="宋体" w:hAnsi="宋体" w:eastAsia="宋体" w:cs="宋体"/>
                <w:sz w:val="20"/>
                <w:szCs w:val="20"/>
              </w:rPr>
            </w:pPr>
            <w:r>
              <w:rPr>
                <w:rFonts w:hint="eastAsia" w:ascii="宋体" w:hAnsi="宋体" w:eastAsia="宋体" w:cs="宋体"/>
                <w:color w:val="333333"/>
                <w:spacing w:val="8"/>
                <w:sz w:val="20"/>
                <w:szCs w:val="20"/>
                <w:lang w:val="en-US" w:eastAsia="zh-CN"/>
                <w14:textOutline w14:w="3795" w14:cap="sq" w14:cmpd="sng">
                  <w14:solidFill>
                    <w14:srgbClr w14:val="333333"/>
                  </w14:solidFill>
                  <w14:prstDash w14:val="solid"/>
                  <w14:bevel/>
                </w14:textOutline>
              </w:rPr>
              <w:t>全年</w:t>
            </w:r>
            <w:r>
              <w:rPr>
                <w:rFonts w:ascii="宋体" w:hAnsi="宋体" w:eastAsia="宋体" w:cs="宋体"/>
                <w:color w:val="333333"/>
                <w:spacing w:val="8"/>
                <w:sz w:val="20"/>
                <w:szCs w:val="20"/>
                <w14:textOutline w14:w="3795" w14:cap="sq" w14:cmpd="sng">
                  <w14:solidFill>
                    <w14:srgbClr w14:val="333333"/>
                  </w14:solidFill>
                  <w14:prstDash w14:val="solid"/>
                  <w14:bevel/>
                </w14:textOutline>
              </w:rPr>
              <w:t>预算</w:t>
            </w:r>
            <w:r>
              <w:rPr>
                <w:rFonts w:ascii="宋体" w:hAnsi="宋体" w:eastAsia="宋体" w:cs="宋体"/>
                <w:color w:val="333333"/>
                <w:spacing w:val="3"/>
                <w:sz w:val="20"/>
                <w:szCs w:val="20"/>
                <w14:textOutline w14:w="3795" w14:cap="sq" w14:cmpd="sng">
                  <w14:solidFill>
                    <w14:srgbClr w14:val="333333"/>
                  </w14:solidFill>
                  <w14:prstDash w14:val="solid"/>
                  <w14:bevel/>
                </w14:textOutline>
              </w:rPr>
              <w:t>（万元）</w:t>
            </w:r>
          </w:p>
        </w:tc>
        <w:tc>
          <w:tcPr>
            <w:tcW w:w="1290" w:type="dxa"/>
            <w:vAlign w:val="center"/>
          </w:tcPr>
          <w:p w14:paraId="571CCC37">
            <w:pPr>
              <w:spacing w:before="58" w:line="262" w:lineRule="auto"/>
              <w:ind w:left="195" w:right="174" w:hanging="10"/>
              <w:jc w:val="center"/>
              <w:rPr>
                <w:rFonts w:ascii="宋体" w:hAnsi="宋体" w:eastAsia="宋体" w:cs="宋体"/>
                <w:sz w:val="20"/>
                <w:szCs w:val="20"/>
              </w:rPr>
            </w:pPr>
            <w:r>
              <w:rPr>
                <w:rFonts w:hint="eastAsia" w:ascii="宋体" w:hAnsi="宋体" w:eastAsia="宋体" w:cs="宋体"/>
                <w:color w:val="333333"/>
                <w:spacing w:val="8"/>
                <w:sz w:val="20"/>
                <w:szCs w:val="20"/>
                <w:lang w:val="en-US" w:eastAsia="zh-CN"/>
                <w14:textOutline w14:w="3795" w14:cap="sq" w14:cmpd="sng">
                  <w14:solidFill>
                    <w14:srgbClr w14:val="333333"/>
                  </w14:solidFill>
                  <w14:prstDash w14:val="solid"/>
                  <w14:bevel/>
                </w14:textOutline>
              </w:rPr>
              <w:t>决算数</w:t>
            </w:r>
            <w:r>
              <w:rPr>
                <w:rFonts w:ascii="宋体" w:hAnsi="宋体" w:eastAsia="宋体" w:cs="宋体"/>
                <w:color w:val="333333"/>
                <w:spacing w:val="1"/>
                <w:sz w:val="20"/>
                <w:szCs w:val="20"/>
              </w:rPr>
              <w:t xml:space="preserve"> </w:t>
            </w:r>
            <w:r>
              <w:rPr>
                <w:rFonts w:ascii="宋体" w:hAnsi="宋体" w:eastAsia="宋体" w:cs="宋体"/>
                <w:color w:val="333333"/>
                <w:spacing w:val="3"/>
                <w:sz w:val="20"/>
                <w:szCs w:val="20"/>
                <w14:textOutline w14:w="3795" w14:cap="sq" w14:cmpd="sng">
                  <w14:solidFill>
                    <w14:srgbClr w14:val="333333"/>
                  </w14:solidFill>
                  <w14:prstDash w14:val="solid"/>
                  <w14:bevel/>
                </w14:textOutline>
              </w:rPr>
              <w:t>（万元）</w:t>
            </w:r>
          </w:p>
        </w:tc>
        <w:tc>
          <w:tcPr>
            <w:tcW w:w="1050" w:type="dxa"/>
            <w:vAlign w:val="center"/>
          </w:tcPr>
          <w:p w14:paraId="4F707E84">
            <w:pPr>
              <w:spacing w:before="219" w:line="228" w:lineRule="auto"/>
              <w:ind w:left="209"/>
              <w:jc w:val="center"/>
              <w:rPr>
                <w:rFonts w:ascii="宋体" w:hAnsi="宋体" w:eastAsia="宋体" w:cs="宋体"/>
                <w:sz w:val="20"/>
                <w:szCs w:val="20"/>
              </w:rPr>
            </w:pPr>
            <w:r>
              <w:rPr>
                <w:rFonts w:ascii="宋体" w:hAnsi="宋体" w:eastAsia="宋体" w:cs="宋体"/>
                <w:color w:val="333333"/>
                <w:spacing w:val="7"/>
                <w:sz w:val="20"/>
                <w:szCs w:val="20"/>
                <w14:textOutline w14:w="3795" w14:cap="sq" w14:cmpd="sng">
                  <w14:solidFill>
                    <w14:srgbClr w14:val="333333"/>
                  </w14:solidFill>
                  <w14:prstDash w14:val="solid"/>
                  <w14:bevel/>
                </w14:textOutline>
              </w:rPr>
              <w:t>执行率</w:t>
            </w:r>
          </w:p>
        </w:tc>
      </w:tr>
      <w:tr w14:paraId="3C1D3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jc w:val="center"/>
        </w:trPr>
        <w:tc>
          <w:tcPr>
            <w:tcW w:w="820" w:type="dxa"/>
            <w:vAlign w:val="top"/>
          </w:tcPr>
          <w:p w14:paraId="36D5DBE9">
            <w:pPr>
              <w:pStyle w:val="18"/>
              <w:spacing w:before="241" w:line="181" w:lineRule="auto"/>
              <w:ind w:left="374"/>
              <w:rPr>
                <w:rFonts w:hint="default" w:ascii="Times New Roman" w:hAnsi="Times New Roman" w:cs="Times New Roman"/>
              </w:rPr>
            </w:pPr>
            <w:r>
              <w:rPr>
                <w:rFonts w:hint="default" w:ascii="Times New Roman" w:hAnsi="Times New Roman" w:cs="Times New Roman"/>
                <w:color w:val="333333"/>
              </w:rPr>
              <w:t>1</w:t>
            </w:r>
          </w:p>
        </w:tc>
        <w:tc>
          <w:tcPr>
            <w:tcW w:w="3573" w:type="dxa"/>
            <w:vAlign w:val="top"/>
          </w:tcPr>
          <w:p w14:paraId="5A0D9075">
            <w:pPr>
              <w:pStyle w:val="18"/>
              <w:spacing w:before="200" w:line="222" w:lineRule="auto"/>
              <w:jc w:val="both"/>
              <w:rPr>
                <w:rFonts w:hint="default" w:ascii="Times New Roman" w:hAnsi="Times New Roman" w:cs="Times New Roman"/>
              </w:rPr>
            </w:pPr>
            <w:r>
              <w:rPr>
                <w:rFonts w:hint="default" w:ascii="Times New Roman" w:hAnsi="Times New Roman" w:cs="Times New Roman"/>
              </w:rPr>
              <w:t>统计年鉴印刷费</w:t>
            </w:r>
          </w:p>
        </w:tc>
        <w:tc>
          <w:tcPr>
            <w:tcW w:w="1365" w:type="dxa"/>
            <w:vAlign w:val="center"/>
          </w:tcPr>
          <w:p w14:paraId="1F2CCEF5">
            <w:pPr>
              <w:bidi w:val="0"/>
              <w:jc w:val="center"/>
              <w:rPr>
                <w:rFonts w:hint="default" w:ascii="Times New Roman" w:hAnsi="Times New Roman" w:cs="Times New Roman"/>
                <w:lang w:val="en-US" w:eastAsia="zh-CN"/>
              </w:rPr>
            </w:pPr>
            <w:r>
              <w:rPr>
                <w:rFonts w:hint="eastAsia" w:ascii="Times New Roman" w:hAnsi="Times New Roman" w:cs="Times New Roman"/>
                <w:lang w:val="en-US" w:eastAsia="zh-CN"/>
              </w:rPr>
              <w:t>1.28</w:t>
            </w:r>
          </w:p>
        </w:tc>
        <w:tc>
          <w:tcPr>
            <w:tcW w:w="1200" w:type="dxa"/>
            <w:vAlign w:val="center"/>
          </w:tcPr>
          <w:p w14:paraId="3EDF59C8">
            <w:pPr>
              <w:bidi w:val="0"/>
              <w:jc w:val="center"/>
              <w:rPr>
                <w:rFonts w:hint="default" w:ascii="Times New Roman" w:hAnsi="Times New Roman" w:cs="Times New Roman"/>
                <w:lang w:val="en-US" w:eastAsia="zh-CN"/>
              </w:rPr>
            </w:pPr>
            <w:r>
              <w:rPr>
                <w:rFonts w:hint="eastAsia" w:ascii="Times New Roman" w:hAnsi="Times New Roman" w:cs="Times New Roman"/>
                <w:lang w:val="en-US" w:eastAsia="zh-CN"/>
              </w:rPr>
              <w:t>1.28</w:t>
            </w:r>
          </w:p>
        </w:tc>
        <w:tc>
          <w:tcPr>
            <w:tcW w:w="1290" w:type="dxa"/>
            <w:vAlign w:val="center"/>
          </w:tcPr>
          <w:p w14:paraId="7B2DDBD7">
            <w:pPr>
              <w:bidi w:val="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lang w:val="en-US" w:eastAsia="zh-CN"/>
              </w:rPr>
              <w:t>1.28</w:t>
            </w:r>
          </w:p>
        </w:tc>
        <w:tc>
          <w:tcPr>
            <w:tcW w:w="1050" w:type="dxa"/>
            <w:vAlign w:val="center"/>
          </w:tcPr>
          <w:p w14:paraId="189837D2">
            <w:p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100%</w:t>
            </w:r>
          </w:p>
        </w:tc>
      </w:tr>
      <w:tr w14:paraId="3E44D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jc w:val="center"/>
        </w:trPr>
        <w:tc>
          <w:tcPr>
            <w:tcW w:w="820" w:type="dxa"/>
            <w:vAlign w:val="top"/>
          </w:tcPr>
          <w:p w14:paraId="173567F4">
            <w:pPr>
              <w:pStyle w:val="18"/>
              <w:spacing w:before="176" w:line="180" w:lineRule="auto"/>
              <w:ind w:left="359"/>
              <w:rPr>
                <w:rFonts w:hint="default" w:ascii="Times New Roman" w:hAnsi="Times New Roman" w:cs="Times New Roman"/>
              </w:rPr>
            </w:pPr>
            <w:r>
              <w:rPr>
                <w:rFonts w:hint="default" w:ascii="Times New Roman" w:hAnsi="Times New Roman" w:cs="Times New Roman"/>
                <w:color w:val="333333"/>
              </w:rPr>
              <w:t>2</w:t>
            </w:r>
          </w:p>
        </w:tc>
        <w:tc>
          <w:tcPr>
            <w:tcW w:w="3573" w:type="dxa"/>
            <w:vAlign w:val="top"/>
          </w:tcPr>
          <w:p w14:paraId="70F69E92">
            <w:pPr>
              <w:pStyle w:val="18"/>
              <w:spacing w:before="200" w:line="222" w:lineRule="auto"/>
              <w:jc w:val="both"/>
              <w:rPr>
                <w:rFonts w:hint="default" w:ascii="Times New Roman" w:hAnsi="Times New Roman" w:cs="Times New Roman"/>
              </w:rPr>
            </w:pPr>
            <w:r>
              <w:rPr>
                <w:rFonts w:hint="default" w:ascii="Times New Roman" w:hAnsi="Times New Roman" w:cs="Times New Roman"/>
              </w:rPr>
              <w:t>城乡住户调查专项</w:t>
            </w:r>
          </w:p>
        </w:tc>
        <w:tc>
          <w:tcPr>
            <w:tcW w:w="1365" w:type="dxa"/>
            <w:vAlign w:val="center"/>
          </w:tcPr>
          <w:p w14:paraId="7C1C455E">
            <w:pPr>
              <w:bidi w:val="0"/>
              <w:jc w:val="center"/>
              <w:rPr>
                <w:rFonts w:hint="default" w:ascii="Times New Roman" w:hAnsi="Times New Roman" w:cs="Times New Roman"/>
                <w:lang w:val="en-US" w:eastAsia="zh-CN"/>
              </w:rPr>
            </w:pPr>
            <w:r>
              <w:rPr>
                <w:rFonts w:hint="eastAsia" w:ascii="Times New Roman" w:hAnsi="Times New Roman" w:cs="Times New Roman"/>
                <w:lang w:val="en-US" w:eastAsia="zh-CN"/>
              </w:rPr>
              <w:t>31.36</w:t>
            </w:r>
          </w:p>
        </w:tc>
        <w:tc>
          <w:tcPr>
            <w:tcW w:w="1200" w:type="dxa"/>
            <w:vAlign w:val="center"/>
          </w:tcPr>
          <w:p w14:paraId="73E1B352">
            <w:pPr>
              <w:bidi w:val="0"/>
              <w:jc w:val="center"/>
              <w:rPr>
                <w:rFonts w:hint="default" w:ascii="Times New Roman" w:hAnsi="Times New Roman" w:cs="Times New Roman"/>
                <w:lang w:val="en-US" w:eastAsia="zh-CN"/>
              </w:rPr>
            </w:pPr>
            <w:r>
              <w:rPr>
                <w:rFonts w:hint="eastAsia" w:ascii="Times New Roman" w:hAnsi="Times New Roman" w:cs="Times New Roman"/>
                <w:lang w:val="en-US" w:eastAsia="zh-CN"/>
              </w:rPr>
              <w:t>46.36</w:t>
            </w:r>
          </w:p>
        </w:tc>
        <w:tc>
          <w:tcPr>
            <w:tcW w:w="1290" w:type="dxa"/>
            <w:vAlign w:val="center"/>
          </w:tcPr>
          <w:p w14:paraId="3C5F1223">
            <w:pPr>
              <w:bidi w:val="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lang w:val="en-US" w:eastAsia="zh-CN"/>
              </w:rPr>
              <w:t>46.36</w:t>
            </w:r>
          </w:p>
        </w:tc>
        <w:tc>
          <w:tcPr>
            <w:tcW w:w="1050" w:type="dxa"/>
            <w:vAlign w:val="center"/>
          </w:tcPr>
          <w:p w14:paraId="308CC7E1">
            <w:p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100%</w:t>
            </w:r>
          </w:p>
        </w:tc>
      </w:tr>
      <w:tr w14:paraId="125AC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jc w:val="center"/>
        </w:trPr>
        <w:tc>
          <w:tcPr>
            <w:tcW w:w="820" w:type="dxa"/>
            <w:vAlign w:val="top"/>
          </w:tcPr>
          <w:p w14:paraId="363A4076">
            <w:pPr>
              <w:pStyle w:val="18"/>
              <w:spacing w:before="176" w:line="180" w:lineRule="auto"/>
              <w:ind w:left="361"/>
              <w:rPr>
                <w:rFonts w:hint="default" w:ascii="Times New Roman" w:hAnsi="Times New Roman" w:cs="Times New Roman"/>
              </w:rPr>
            </w:pPr>
            <w:r>
              <w:rPr>
                <w:rFonts w:hint="default" w:ascii="Times New Roman" w:hAnsi="Times New Roman" w:cs="Times New Roman"/>
                <w:color w:val="333333"/>
              </w:rPr>
              <w:t>3</w:t>
            </w:r>
          </w:p>
        </w:tc>
        <w:tc>
          <w:tcPr>
            <w:tcW w:w="3573" w:type="dxa"/>
            <w:vAlign w:val="top"/>
          </w:tcPr>
          <w:p w14:paraId="33F0621E">
            <w:pPr>
              <w:pStyle w:val="18"/>
              <w:spacing w:before="200" w:line="222" w:lineRule="auto"/>
              <w:jc w:val="both"/>
              <w:rPr>
                <w:rFonts w:hint="default" w:ascii="Times New Roman" w:hAnsi="Times New Roman" w:cs="Times New Roman"/>
              </w:rPr>
            </w:pPr>
            <w:r>
              <w:rPr>
                <w:rFonts w:hint="default" w:ascii="Times New Roman" w:hAnsi="Times New Roman" w:cs="Times New Roman"/>
              </w:rPr>
              <w:t>畜禽监测调查工作经费</w:t>
            </w:r>
          </w:p>
        </w:tc>
        <w:tc>
          <w:tcPr>
            <w:tcW w:w="1365" w:type="dxa"/>
            <w:vAlign w:val="center"/>
          </w:tcPr>
          <w:p w14:paraId="0918F805">
            <w:pPr>
              <w:bidi w:val="0"/>
              <w:jc w:val="center"/>
              <w:rPr>
                <w:rFonts w:hint="default" w:ascii="Times New Roman" w:hAnsi="Times New Roman" w:cs="Times New Roman"/>
                <w:lang w:val="en-US" w:eastAsia="zh-CN"/>
              </w:rPr>
            </w:pPr>
            <w:r>
              <w:rPr>
                <w:rFonts w:hint="eastAsia" w:ascii="Times New Roman" w:hAnsi="Times New Roman" w:cs="Times New Roman"/>
                <w:lang w:val="en-US" w:eastAsia="zh-CN"/>
              </w:rPr>
              <w:t>2.56</w:t>
            </w:r>
          </w:p>
        </w:tc>
        <w:tc>
          <w:tcPr>
            <w:tcW w:w="1200" w:type="dxa"/>
            <w:vAlign w:val="center"/>
          </w:tcPr>
          <w:p w14:paraId="06865E88">
            <w:pPr>
              <w:bidi w:val="0"/>
              <w:jc w:val="center"/>
              <w:rPr>
                <w:rFonts w:hint="default" w:ascii="Times New Roman" w:hAnsi="Times New Roman" w:cs="Times New Roman"/>
                <w:lang w:val="en-US" w:eastAsia="zh-CN"/>
              </w:rPr>
            </w:pPr>
            <w:r>
              <w:rPr>
                <w:rFonts w:hint="eastAsia" w:ascii="Times New Roman" w:hAnsi="Times New Roman" w:cs="Times New Roman"/>
                <w:lang w:val="en-US" w:eastAsia="zh-CN"/>
              </w:rPr>
              <w:t>2.56</w:t>
            </w:r>
          </w:p>
        </w:tc>
        <w:tc>
          <w:tcPr>
            <w:tcW w:w="1290" w:type="dxa"/>
            <w:vAlign w:val="center"/>
          </w:tcPr>
          <w:p w14:paraId="6A984EB3">
            <w:pPr>
              <w:bidi w:val="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lang w:val="en-US" w:eastAsia="zh-CN"/>
              </w:rPr>
              <w:t>2.56</w:t>
            </w:r>
          </w:p>
        </w:tc>
        <w:tc>
          <w:tcPr>
            <w:tcW w:w="1050" w:type="dxa"/>
            <w:vAlign w:val="center"/>
          </w:tcPr>
          <w:p w14:paraId="7A136885">
            <w:p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100%</w:t>
            </w:r>
          </w:p>
        </w:tc>
      </w:tr>
      <w:tr w14:paraId="1D7DD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jc w:val="center"/>
        </w:trPr>
        <w:tc>
          <w:tcPr>
            <w:tcW w:w="820" w:type="dxa"/>
            <w:vAlign w:val="top"/>
          </w:tcPr>
          <w:p w14:paraId="08B874AC">
            <w:pPr>
              <w:pStyle w:val="18"/>
              <w:spacing w:before="174" w:line="180" w:lineRule="auto"/>
              <w:ind w:left="355"/>
              <w:rPr>
                <w:rFonts w:hint="default" w:ascii="Times New Roman" w:hAnsi="Times New Roman" w:cs="Times New Roman"/>
              </w:rPr>
            </w:pPr>
            <w:r>
              <w:rPr>
                <w:rFonts w:hint="default" w:ascii="Times New Roman" w:hAnsi="Times New Roman" w:cs="Times New Roman"/>
                <w:color w:val="333333"/>
              </w:rPr>
              <w:t>4</w:t>
            </w:r>
          </w:p>
        </w:tc>
        <w:tc>
          <w:tcPr>
            <w:tcW w:w="3573" w:type="dxa"/>
            <w:vAlign w:val="top"/>
          </w:tcPr>
          <w:p w14:paraId="640FAC2B">
            <w:pPr>
              <w:pStyle w:val="18"/>
              <w:spacing w:before="200" w:line="222" w:lineRule="auto"/>
              <w:jc w:val="both"/>
              <w:rPr>
                <w:rFonts w:hint="default" w:ascii="Times New Roman" w:hAnsi="Times New Roman" w:cs="Times New Roman"/>
              </w:rPr>
            </w:pPr>
            <w:r>
              <w:rPr>
                <w:rFonts w:hint="default" w:ascii="Times New Roman" w:hAnsi="Times New Roman" w:cs="Times New Roman"/>
              </w:rPr>
              <w:t>"企业一套表”联网直报专项</w:t>
            </w:r>
          </w:p>
        </w:tc>
        <w:tc>
          <w:tcPr>
            <w:tcW w:w="1365" w:type="dxa"/>
            <w:vAlign w:val="center"/>
          </w:tcPr>
          <w:p w14:paraId="2846E6E0">
            <w:pPr>
              <w:bidi w:val="0"/>
              <w:jc w:val="center"/>
              <w:rPr>
                <w:rFonts w:hint="default" w:ascii="Times New Roman" w:hAnsi="Times New Roman" w:cs="Times New Roman"/>
                <w:lang w:val="en-US" w:eastAsia="zh-CN"/>
              </w:rPr>
            </w:pPr>
            <w:r>
              <w:rPr>
                <w:rFonts w:hint="eastAsia" w:ascii="Times New Roman" w:hAnsi="Times New Roman" w:cs="Times New Roman"/>
                <w:lang w:val="en-US" w:eastAsia="zh-CN"/>
              </w:rPr>
              <w:t>4.48</w:t>
            </w:r>
          </w:p>
        </w:tc>
        <w:tc>
          <w:tcPr>
            <w:tcW w:w="1200" w:type="dxa"/>
            <w:vAlign w:val="center"/>
          </w:tcPr>
          <w:p w14:paraId="68ECCE2E">
            <w:pPr>
              <w:bidi w:val="0"/>
              <w:jc w:val="center"/>
              <w:rPr>
                <w:rFonts w:hint="default" w:ascii="Times New Roman" w:hAnsi="Times New Roman" w:cs="Times New Roman"/>
                <w:lang w:val="en-US" w:eastAsia="zh-CN"/>
              </w:rPr>
            </w:pPr>
            <w:r>
              <w:rPr>
                <w:rFonts w:hint="eastAsia" w:ascii="Times New Roman" w:hAnsi="Times New Roman" w:cs="Times New Roman"/>
                <w:lang w:val="en-US" w:eastAsia="zh-CN"/>
              </w:rPr>
              <w:t>4.48</w:t>
            </w:r>
          </w:p>
        </w:tc>
        <w:tc>
          <w:tcPr>
            <w:tcW w:w="1290" w:type="dxa"/>
            <w:vAlign w:val="center"/>
          </w:tcPr>
          <w:p w14:paraId="31AEFD25">
            <w:pPr>
              <w:bidi w:val="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lang w:val="en-US" w:eastAsia="zh-CN"/>
              </w:rPr>
              <w:t>4.48</w:t>
            </w:r>
          </w:p>
        </w:tc>
        <w:tc>
          <w:tcPr>
            <w:tcW w:w="1050" w:type="dxa"/>
            <w:vAlign w:val="center"/>
          </w:tcPr>
          <w:p w14:paraId="209D36DC">
            <w:p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100%</w:t>
            </w:r>
          </w:p>
        </w:tc>
      </w:tr>
      <w:tr w14:paraId="12E97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jc w:val="center"/>
        </w:trPr>
        <w:tc>
          <w:tcPr>
            <w:tcW w:w="820" w:type="dxa"/>
            <w:vAlign w:val="top"/>
          </w:tcPr>
          <w:p w14:paraId="30E3958A">
            <w:pPr>
              <w:pStyle w:val="18"/>
              <w:spacing w:before="176" w:line="179" w:lineRule="auto"/>
              <w:ind w:left="361"/>
              <w:rPr>
                <w:rFonts w:hint="default" w:ascii="Times New Roman" w:hAnsi="Times New Roman" w:cs="Times New Roman"/>
              </w:rPr>
            </w:pPr>
            <w:r>
              <w:rPr>
                <w:rFonts w:hint="default" w:ascii="Times New Roman" w:hAnsi="Times New Roman" w:cs="Times New Roman"/>
                <w:color w:val="333333"/>
              </w:rPr>
              <w:t>5</w:t>
            </w:r>
          </w:p>
        </w:tc>
        <w:tc>
          <w:tcPr>
            <w:tcW w:w="3573" w:type="dxa"/>
            <w:vAlign w:val="top"/>
          </w:tcPr>
          <w:p w14:paraId="162E6714">
            <w:pPr>
              <w:pStyle w:val="18"/>
              <w:spacing w:before="200" w:line="222" w:lineRule="auto"/>
              <w:jc w:val="both"/>
              <w:rPr>
                <w:rFonts w:hint="default" w:ascii="Times New Roman" w:hAnsi="Times New Roman" w:cs="Times New Roman"/>
              </w:rPr>
            </w:pPr>
            <w:r>
              <w:rPr>
                <w:rFonts w:hint="default" w:ascii="Times New Roman" w:hAnsi="Times New Roman" w:cs="Times New Roman"/>
              </w:rPr>
              <w:t>月度调查失业率工作经费专项</w:t>
            </w:r>
          </w:p>
        </w:tc>
        <w:tc>
          <w:tcPr>
            <w:tcW w:w="1365" w:type="dxa"/>
            <w:vAlign w:val="center"/>
          </w:tcPr>
          <w:p w14:paraId="3C3AB4A0">
            <w:pPr>
              <w:bidi w:val="0"/>
              <w:jc w:val="center"/>
              <w:rPr>
                <w:rFonts w:hint="default" w:ascii="Times New Roman" w:hAnsi="Times New Roman" w:cs="Times New Roman"/>
                <w:lang w:val="en-US" w:eastAsia="zh-CN"/>
              </w:rPr>
            </w:pPr>
            <w:r>
              <w:rPr>
                <w:rFonts w:hint="eastAsia" w:ascii="Times New Roman" w:hAnsi="Times New Roman" w:cs="Times New Roman"/>
                <w:lang w:val="en-US" w:eastAsia="zh-CN"/>
              </w:rPr>
              <w:t>9.6</w:t>
            </w:r>
          </w:p>
        </w:tc>
        <w:tc>
          <w:tcPr>
            <w:tcW w:w="1200" w:type="dxa"/>
            <w:vAlign w:val="center"/>
          </w:tcPr>
          <w:p w14:paraId="716CA33C">
            <w:pPr>
              <w:bidi w:val="0"/>
              <w:jc w:val="center"/>
              <w:rPr>
                <w:rFonts w:hint="default" w:ascii="Times New Roman" w:hAnsi="Times New Roman" w:cs="Times New Roman"/>
                <w:lang w:val="en-US" w:eastAsia="zh-CN"/>
              </w:rPr>
            </w:pPr>
            <w:r>
              <w:rPr>
                <w:rFonts w:hint="eastAsia" w:ascii="Times New Roman" w:hAnsi="Times New Roman" w:cs="Times New Roman"/>
                <w:lang w:val="en-US" w:eastAsia="zh-CN"/>
              </w:rPr>
              <w:t>14.55</w:t>
            </w:r>
          </w:p>
        </w:tc>
        <w:tc>
          <w:tcPr>
            <w:tcW w:w="1290" w:type="dxa"/>
            <w:vAlign w:val="center"/>
          </w:tcPr>
          <w:p w14:paraId="7B952B8E">
            <w:pPr>
              <w:bidi w:val="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lang w:val="en-US" w:eastAsia="zh-CN"/>
              </w:rPr>
              <w:t>14.55</w:t>
            </w:r>
          </w:p>
        </w:tc>
        <w:tc>
          <w:tcPr>
            <w:tcW w:w="1050" w:type="dxa"/>
            <w:vAlign w:val="center"/>
          </w:tcPr>
          <w:p w14:paraId="712437C6">
            <w:p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100%</w:t>
            </w:r>
          </w:p>
        </w:tc>
      </w:tr>
      <w:tr w14:paraId="43CB68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jc w:val="center"/>
        </w:trPr>
        <w:tc>
          <w:tcPr>
            <w:tcW w:w="820" w:type="dxa"/>
            <w:vAlign w:val="top"/>
          </w:tcPr>
          <w:p w14:paraId="2B0C719E">
            <w:pPr>
              <w:pStyle w:val="18"/>
              <w:spacing w:before="176" w:line="180" w:lineRule="auto"/>
              <w:ind w:left="358"/>
              <w:rPr>
                <w:rFonts w:hint="default" w:ascii="Times New Roman" w:hAnsi="Times New Roman" w:cs="Times New Roman"/>
              </w:rPr>
            </w:pPr>
            <w:r>
              <w:rPr>
                <w:rFonts w:hint="default" w:ascii="Times New Roman" w:hAnsi="Times New Roman" w:cs="Times New Roman"/>
                <w:color w:val="333333"/>
              </w:rPr>
              <w:t>6</w:t>
            </w:r>
          </w:p>
        </w:tc>
        <w:tc>
          <w:tcPr>
            <w:tcW w:w="3573" w:type="dxa"/>
            <w:vAlign w:val="top"/>
          </w:tcPr>
          <w:p w14:paraId="1F581DC4">
            <w:pPr>
              <w:pStyle w:val="18"/>
              <w:spacing w:before="200" w:line="222" w:lineRule="auto"/>
              <w:jc w:val="both"/>
              <w:rPr>
                <w:rFonts w:hint="default" w:ascii="Times New Roman" w:hAnsi="Times New Roman" w:cs="Times New Roman"/>
              </w:rPr>
            </w:pPr>
            <w:r>
              <w:rPr>
                <w:rFonts w:hint="default" w:ascii="Times New Roman" w:hAnsi="Times New Roman" w:cs="Times New Roman"/>
              </w:rPr>
              <w:t>粮食产量抽样调查专项</w:t>
            </w:r>
          </w:p>
        </w:tc>
        <w:tc>
          <w:tcPr>
            <w:tcW w:w="1365" w:type="dxa"/>
            <w:vAlign w:val="center"/>
          </w:tcPr>
          <w:p w14:paraId="7FABAA5D">
            <w:pPr>
              <w:bidi w:val="0"/>
              <w:jc w:val="center"/>
              <w:rPr>
                <w:rFonts w:hint="default" w:ascii="Times New Roman" w:hAnsi="Times New Roman" w:cs="Times New Roman"/>
                <w:lang w:val="en-US" w:eastAsia="zh-CN"/>
              </w:rPr>
            </w:pPr>
            <w:r>
              <w:rPr>
                <w:rFonts w:hint="eastAsia" w:ascii="Times New Roman" w:hAnsi="Times New Roman" w:cs="Times New Roman"/>
                <w:lang w:val="en-US" w:eastAsia="zh-CN"/>
              </w:rPr>
              <w:t>10.24</w:t>
            </w:r>
          </w:p>
        </w:tc>
        <w:tc>
          <w:tcPr>
            <w:tcW w:w="1200" w:type="dxa"/>
            <w:vAlign w:val="center"/>
          </w:tcPr>
          <w:p w14:paraId="77E35287">
            <w:pPr>
              <w:bidi w:val="0"/>
              <w:jc w:val="center"/>
              <w:rPr>
                <w:rFonts w:hint="default" w:ascii="Times New Roman" w:hAnsi="Times New Roman" w:cs="Times New Roman"/>
                <w:lang w:val="en-US" w:eastAsia="zh-CN"/>
              </w:rPr>
            </w:pPr>
            <w:r>
              <w:rPr>
                <w:rFonts w:hint="eastAsia" w:ascii="Times New Roman" w:hAnsi="Times New Roman" w:cs="Times New Roman"/>
                <w:lang w:val="en-US" w:eastAsia="zh-CN"/>
              </w:rPr>
              <w:t>12.24</w:t>
            </w:r>
          </w:p>
        </w:tc>
        <w:tc>
          <w:tcPr>
            <w:tcW w:w="1290" w:type="dxa"/>
            <w:vAlign w:val="center"/>
          </w:tcPr>
          <w:p w14:paraId="430F4237">
            <w:pPr>
              <w:bidi w:val="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lang w:val="en-US" w:eastAsia="zh-CN"/>
              </w:rPr>
              <w:t>12.24</w:t>
            </w:r>
          </w:p>
        </w:tc>
        <w:tc>
          <w:tcPr>
            <w:tcW w:w="1050" w:type="dxa"/>
            <w:vAlign w:val="center"/>
          </w:tcPr>
          <w:p w14:paraId="3FEFB0FE">
            <w:p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100%</w:t>
            </w:r>
          </w:p>
        </w:tc>
      </w:tr>
      <w:tr w14:paraId="602BB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jc w:val="center"/>
        </w:trPr>
        <w:tc>
          <w:tcPr>
            <w:tcW w:w="820" w:type="dxa"/>
            <w:vAlign w:val="top"/>
          </w:tcPr>
          <w:p w14:paraId="523FF23A">
            <w:pPr>
              <w:pStyle w:val="18"/>
              <w:spacing w:before="178" w:line="179" w:lineRule="auto"/>
              <w:ind w:left="362"/>
              <w:rPr>
                <w:rFonts w:hint="default" w:ascii="Times New Roman" w:hAnsi="Times New Roman" w:cs="Times New Roman"/>
              </w:rPr>
            </w:pPr>
            <w:r>
              <w:rPr>
                <w:rFonts w:hint="default" w:ascii="Times New Roman" w:hAnsi="Times New Roman" w:cs="Times New Roman"/>
                <w:color w:val="333333"/>
              </w:rPr>
              <w:t>7</w:t>
            </w:r>
          </w:p>
        </w:tc>
        <w:tc>
          <w:tcPr>
            <w:tcW w:w="3573" w:type="dxa"/>
            <w:vAlign w:val="top"/>
          </w:tcPr>
          <w:p w14:paraId="204D349D">
            <w:pPr>
              <w:pStyle w:val="18"/>
              <w:spacing w:before="200" w:line="222" w:lineRule="auto"/>
              <w:jc w:val="both"/>
              <w:rPr>
                <w:rFonts w:hint="default" w:ascii="Times New Roman" w:hAnsi="Times New Roman" w:cs="Times New Roman"/>
              </w:rPr>
            </w:pPr>
            <w:r>
              <w:rPr>
                <w:rFonts w:hint="default" w:ascii="Times New Roman" w:hAnsi="Times New Roman" w:cs="Times New Roman"/>
              </w:rPr>
              <w:t>统计年报工作经费</w:t>
            </w:r>
          </w:p>
        </w:tc>
        <w:tc>
          <w:tcPr>
            <w:tcW w:w="1365" w:type="dxa"/>
            <w:vAlign w:val="center"/>
          </w:tcPr>
          <w:p w14:paraId="0F13A958">
            <w:pPr>
              <w:bidi w:val="0"/>
              <w:jc w:val="center"/>
              <w:rPr>
                <w:rFonts w:hint="default" w:ascii="Times New Roman" w:hAnsi="Times New Roman" w:cs="Times New Roman"/>
                <w:lang w:val="en-US" w:eastAsia="zh-CN"/>
              </w:rPr>
            </w:pPr>
            <w:r>
              <w:rPr>
                <w:rFonts w:hint="eastAsia" w:ascii="Times New Roman" w:hAnsi="Times New Roman" w:cs="Times New Roman"/>
                <w:lang w:val="en-US" w:eastAsia="zh-CN"/>
              </w:rPr>
              <w:t>7.68</w:t>
            </w:r>
          </w:p>
        </w:tc>
        <w:tc>
          <w:tcPr>
            <w:tcW w:w="1200" w:type="dxa"/>
            <w:vAlign w:val="center"/>
          </w:tcPr>
          <w:p w14:paraId="25A3E7A1">
            <w:pPr>
              <w:bidi w:val="0"/>
              <w:jc w:val="center"/>
              <w:rPr>
                <w:rFonts w:hint="default" w:ascii="Times New Roman" w:hAnsi="Times New Roman" w:eastAsia="宋体" w:cs="Times New Roman"/>
                <w:lang w:val="en-US" w:eastAsia="zh-CN"/>
              </w:rPr>
            </w:pPr>
            <w:r>
              <w:rPr>
                <w:rFonts w:hint="eastAsia" w:ascii="Times New Roman" w:hAnsi="Times New Roman" w:cs="Times New Roman"/>
                <w:lang w:val="en-US" w:eastAsia="zh-CN"/>
              </w:rPr>
              <w:t>7.68</w:t>
            </w:r>
          </w:p>
        </w:tc>
        <w:tc>
          <w:tcPr>
            <w:tcW w:w="1290" w:type="dxa"/>
            <w:vAlign w:val="center"/>
          </w:tcPr>
          <w:p w14:paraId="1BBCB263">
            <w:pPr>
              <w:bidi w:val="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lang w:val="en-US" w:eastAsia="zh-CN"/>
              </w:rPr>
              <w:t>7.68</w:t>
            </w:r>
          </w:p>
        </w:tc>
        <w:tc>
          <w:tcPr>
            <w:tcW w:w="1050" w:type="dxa"/>
            <w:vAlign w:val="center"/>
          </w:tcPr>
          <w:p w14:paraId="3BB9335D">
            <w:p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100%</w:t>
            </w:r>
          </w:p>
        </w:tc>
      </w:tr>
      <w:tr w14:paraId="02854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jc w:val="center"/>
        </w:trPr>
        <w:tc>
          <w:tcPr>
            <w:tcW w:w="820" w:type="dxa"/>
            <w:vAlign w:val="top"/>
          </w:tcPr>
          <w:p w14:paraId="21BAC4C5">
            <w:pPr>
              <w:pStyle w:val="18"/>
              <w:spacing w:before="177" w:line="180" w:lineRule="auto"/>
              <w:ind w:left="357"/>
              <w:rPr>
                <w:rFonts w:hint="eastAsia" w:ascii="Times New Roman" w:hAnsi="Times New Roman" w:eastAsia="仿宋" w:cs="Times New Roman"/>
                <w:lang w:eastAsia="zh-CN"/>
              </w:rPr>
            </w:pPr>
            <w:r>
              <w:rPr>
                <w:rFonts w:hint="eastAsia" w:ascii="Times New Roman" w:hAnsi="Times New Roman" w:cs="Times New Roman"/>
                <w:color w:val="333333"/>
                <w:lang w:val="en-US" w:eastAsia="zh-CN"/>
              </w:rPr>
              <w:t>8</w:t>
            </w:r>
          </w:p>
        </w:tc>
        <w:tc>
          <w:tcPr>
            <w:tcW w:w="3573" w:type="dxa"/>
            <w:vAlign w:val="top"/>
          </w:tcPr>
          <w:p w14:paraId="5358AEC9">
            <w:pPr>
              <w:pStyle w:val="18"/>
              <w:spacing w:before="200" w:line="222" w:lineRule="auto"/>
              <w:jc w:val="both"/>
              <w:rPr>
                <w:rFonts w:hint="default" w:ascii="Times New Roman" w:hAnsi="Times New Roman" w:cs="Times New Roman"/>
              </w:rPr>
            </w:pPr>
            <w:r>
              <w:rPr>
                <w:rFonts w:hint="default" w:ascii="Times New Roman" w:hAnsi="Times New Roman" w:cs="Times New Roman"/>
                <w:lang w:val="en-US" w:eastAsia="zh-CN"/>
              </w:rPr>
              <w:t>第五次全国经济普查经费</w:t>
            </w:r>
          </w:p>
        </w:tc>
        <w:tc>
          <w:tcPr>
            <w:tcW w:w="1365" w:type="dxa"/>
            <w:vAlign w:val="center"/>
          </w:tcPr>
          <w:p w14:paraId="4B7F87D1">
            <w:pPr>
              <w:bidi w:val="0"/>
              <w:jc w:val="center"/>
              <w:rPr>
                <w:rFonts w:hint="default" w:ascii="Times New Roman" w:hAnsi="Times New Roman" w:cs="Times New Roman"/>
                <w:lang w:val="en-US" w:eastAsia="zh-CN"/>
              </w:rPr>
            </w:pPr>
          </w:p>
        </w:tc>
        <w:tc>
          <w:tcPr>
            <w:tcW w:w="1200" w:type="dxa"/>
            <w:vAlign w:val="center"/>
          </w:tcPr>
          <w:p w14:paraId="48DB2B23">
            <w:pPr>
              <w:bidi w:val="0"/>
              <w:jc w:val="center"/>
              <w:rPr>
                <w:rFonts w:hint="default" w:ascii="Times New Roman" w:hAnsi="Times New Roman" w:eastAsia="宋体" w:cs="Times New Roman"/>
                <w:lang w:val="en-US" w:eastAsia="zh-CN"/>
              </w:rPr>
            </w:pPr>
            <w:r>
              <w:rPr>
                <w:rFonts w:hint="eastAsia" w:ascii="Times New Roman" w:hAnsi="Times New Roman" w:cs="Times New Roman"/>
                <w:lang w:val="en-US" w:eastAsia="zh-CN"/>
              </w:rPr>
              <w:t>87.97</w:t>
            </w:r>
          </w:p>
        </w:tc>
        <w:tc>
          <w:tcPr>
            <w:tcW w:w="1290" w:type="dxa"/>
            <w:vAlign w:val="center"/>
          </w:tcPr>
          <w:p w14:paraId="421C294D">
            <w:pPr>
              <w:bidi w:val="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lang w:val="en-US" w:eastAsia="zh-CN"/>
              </w:rPr>
              <w:t>87.97</w:t>
            </w:r>
          </w:p>
        </w:tc>
        <w:tc>
          <w:tcPr>
            <w:tcW w:w="1050" w:type="dxa"/>
            <w:vAlign w:val="center"/>
          </w:tcPr>
          <w:p w14:paraId="0ED688E4">
            <w:p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100%</w:t>
            </w:r>
          </w:p>
        </w:tc>
      </w:tr>
      <w:tr w14:paraId="66B7A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jc w:val="center"/>
        </w:trPr>
        <w:tc>
          <w:tcPr>
            <w:tcW w:w="820" w:type="dxa"/>
            <w:vAlign w:val="top"/>
          </w:tcPr>
          <w:p w14:paraId="7E2CF1FD">
            <w:pPr>
              <w:pStyle w:val="18"/>
              <w:spacing w:before="176" w:line="181" w:lineRule="auto"/>
              <w:ind w:left="314"/>
              <w:rPr>
                <w:rFonts w:hint="eastAsia" w:ascii="Times New Roman" w:hAnsi="Times New Roman" w:eastAsia="仿宋" w:cs="Times New Roman"/>
                <w:lang w:eastAsia="zh-CN"/>
              </w:rPr>
            </w:pPr>
            <w:r>
              <w:rPr>
                <w:rFonts w:hint="eastAsia" w:ascii="Times New Roman" w:hAnsi="Times New Roman" w:cs="Times New Roman"/>
                <w:color w:val="333333"/>
                <w:spacing w:val="-14"/>
                <w:lang w:val="en-US" w:eastAsia="zh-CN"/>
              </w:rPr>
              <w:t>9</w:t>
            </w:r>
          </w:p>
        </w:tc>
        <w:tc>
          <w:tcPr>
            <w:tcW w:w="3573" w:type="dxa"/>
            <w:vAlign w:val="top"/>
          </w:tcPr>
          <w:p w14:paraId="60668049">
            <w:pPr>
              <w:pStyle w:val="18"/>
              <w:spacing w:before="200" w:line="222" w:lineRule="auto"/>
              <w:jc w:val="both"/>
              <w:rPr>
                <w:rFonts w:hint="default" w:ascii="Times New Roman" w:hAnsi="Times New Roman" w:cs="Times New Roman"/>
              </w:rPr>
            </w:pPr>
            <w:r>
              <w:rPr>
                <w:rFonts w:hint="default" w:ascii="Times New Roman" w:hAnsi="Times New Roman" w:cs="Times New Roman"/>
              </w:rPr>
              <w:t>基层统计调查补助经费</w:t>
            </w:r>
          </w:p>
        </w:tc>
        <w:tc>
          <w:tcPr>
            <w:tcW w:w="1365" w:type="dxa"/>
            <w:vAlign w:val="center"/>
          </w:tcPr>
          <w:p w14:paraId="4457E14E">
            <w:pPr>
              <w:bidi w:val="0"/>
              <w:jc w:val="center"/>
              <w:rPr>
                <w:rFonts w:hint="default" w:ascii="Times New Roman" w:hAnsi="Times New Roman" w:cs="Times New Roman"/>
                <w:lang w:val="en-US" w:eastAsia="zh-CN"/>
              </w:rPr>
            </w:pPr>
          </w:p>
        </w:tc>
        <w:tc>
          <w:tcPr>
            <w:tcW w:w="1200" w:type="dxa"/>
            <w:vAlign w:val="center"/>
          </w:tcPr>
          <w:p w14:paraId="73308C87">
            <w:pPr>
              <w:bidi w:val="0"/>
              <w:jc w:val="center"/>
              <w:rPr>
                <w:rFonts w:hint="default" w:ascii="Times New Roman" w:hAnsi="Times New Roman" w:eastAsia="宋体" w:cs="Times New Roman"/>
                <w:lang w:val="en-US" w:eastAsia="zh-CN"/>
              </w:rPr>
            </w:pPr>
            <w:r>
              <w:rPr>
                <w:rFonts w:hint="eastAsia" w:ascii="Times New Roman" w:hAnsi="Times New Roman" w:cs="Times New Roman"/>
                <w:lang w:val="en-US" w:eastAsia="zh-CN"/>
              </w:rPr>
              <w:t>1</w:t>
            </w:r>
          </w:p>
        </w:tc>
        <w:tc>
          <w:tcPr>
            <w:tcW w:w="1290" w:type="dxa"/>
            <w:vAlign w:val="center"/>
          </w:tcPr>
          <w:p w14:paraId="0D16235B">
            <w:pPr>
              <w:bidi w:val="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lang w:val="en-US" w:eastAsia="zh-CN"/>
              </w:rPr>
              <w:t>1</w:t>
            </w:r>
          </w:p>
        </w:tc>
        <w:tc>
          <w:tcPr>
            <w:tcW w:w="1050" w:type="dxa"/>
            <w:vAlign w:val="center"/>
          </w:tcPr>
          <w:p w14:paraId="2C9C8B45">
            <w:p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100%</w:t>
            </w:r>
          </w:p>
        </w:tc>
      </w:tr>
      <w:tr w14:paraId="6BA1D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jc w:val="center"/>
        </w:trPr>
        <w:tc>
          <w:tcPr>
            <w:tcW w:w="820" w:type="dxa"/>
            <w:vAlign w:val="top"/>
          </w:tcPr>
          <w:p w14:paraId="2187F234">
            <w:pPr>
              <w:pStyle w:val="18"/>
              <w:spacing w:before="178" w:line="181" w:lineRule="auto"/>
              <w:ind w:left="314"/>
              <w:rPr>
                <w:rFonts w:hint="default" w:ascii="Times New Roman" w:hAnsi="Times New Roman" w:eastAsia="仿宋" w:cs="Times New Roman"/>
                <w:color w:val="333333"/>
                <w:spacing w:val="-14"/>
                <w:lang w:val="en-US" w:eastAsia="zh-CN"/>
              </w:rPr>
            </w:pPr>
            <w:r>
              <w:rPr>
                <w:rFonts w:hint="eastAsia" w:ascii="Times New Roman" w:hAnsi="Times New Roman" w:cs="Times New Roman"/>
                <w:color w:val="333333"/>
                <w:spacing w:val="-14"/>
                <w:lang w:val="en-US" w:eastAsia="zh-CN"/>
              </w:rPr>
              <w:t>10</w:t>
            </w:r>
          </w:p>
        </w:tc>
        <w:tc>
          <w:tcPr>
            <w:tcW w:w="3573" w:type="dxa"/>
            <w:vAlign w:val="top"/>
          </w:tcPr>
          <w:p w14:paraId="08964420">
            <w:pPr>
              <w:pStyle w:val="18"/>
              <w:spacing w:before="200" w:line="222" w:lineRule="auto"/>
              <w:jc w:val="both"/>
              <w:rPr>
                <w:rFonts w:hint="default" w:ascii="Times New Roman" w:hAnsi="Times New Roman" w:cs="Times New Roman"/>
                <w:lang w:val="en-US"/>
              </w:rPr>
            </w:pPr>
            <w:r>
              <w:rPr>
                <w:rFonts w:hint="eastAsia" w:ascii="Times New Roman" w:hAnsi="Times New Roman" w:cs="Times New Roman"/>
                <w:lang w:val="en-US" w:eastAsia="zh-CN"/>
              </w:rPr>
              <w:t>2023年真抓实干奖励本级资金（工业专项）</w:t>
            </w:r>
          </w:p>
        </w:tc>
        <w:tc>
          <w:tcPr>
            <w:tcW w:w="1365" w:type="dxa"/>
            <w:vAlign w:val="center"/>
          </w:tcPr>
          <w:p w14:paraId="0E0CC412">
            <w:pPr>
              <w:bidi w:val="0"/>
              <w:jc w:val="center"/>
              <w:rPr>
                <w:rFonts w:hint="default" w:ascii="Times New Roman" w:hAnsi="Times New Roman" w:cs="Times New Roman"/>
                <w:lang w:val="en-US" w:eastAsia="zh-CN"/>
              </w:rPr>
            </w:pPr>
          </w:p>
        </w:tc>
        <w:tc>
          <w:tcPr>
            <w:tcW w:w="1200" w:type="dxa"/>
            <w:vAlign w:val="center"/>
          </w:tcPr>
          <w:p w14:paraId="0064F520">
            <w:pPr>
              <w:bidi w:val="0"/>
              <w:jc w:val="center"/>
              <w:rPr>
                <w:rFonts w:hint="default" w:ascii="Times New Roman" w:hAnsi="Times New Roman" w:eastAsia="宋体" w:cs="Times New Roman"/>
                <w:lang w:val="en-US" w:eastAsia="zh-CN"/>
              </w:rPr>
            </w:pPr>
            <w:r>
              <w:rPr>
                <w:rFonts w:hint="eastAsia" w:ascii="Times New Roman" w:hAnsi="Times New Roman" w:cs="Times New Roman"/>
                <w:lang w:val="en-US" w:eastAsia="zh-CN"/>
              </w:rPr>
              <w:t>6.78</w:t>
            </w:r>
          </w:p>
        </w:tc>
        <w:tc>
          <w:tcPr>
            <w:tcW w:w="1290" w:type="dxa"/>
            <w:vAlign w:val="center"/>
          </w:tcPr>
          <w:p w14:paraId="0C3FEB0C">
            <w:pPr>
              <w:bidi w:val="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lang w:val="en-US" w:eastAsia="zh-CN"/>
              </w:rPr>
              <w:t>6.78</w:t>
            </w:r>
          </w:p>
        </w:tc>
        <w:tc>
          <w:tcPr>
            <w:tcW w:w="1050" w:type="dxa"/>
            <w:vAlign w:val="center"/>
          </w:tcPr>
          <w:p w14:paraId="7C4702D6">
            <w:p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100%</w:t>
            </w:r>
          </w:p>
        </w:tc>
      </w:tr>
      <w:tr w14:paraId="7B40F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jc w:val="center"/>
        </w:trPr>
        <w:tc>
          <w:tcPr>
            <w:tcW w:w="4393" w:type="dxa"/>
            <w:gridSpan w:val="2"/>
            <w:vAlign w:val="top"/>
          </w:tcPr>
          <w:p w14:paraId="114A044F">
            <w:pPr>
              <w:pStyle w:val="18"/>
              <w:spacing w:before="136" w:line="222" w:lineRule="auto"/>
              <w:ind w:left="2411"/>
              <w:rPr>
                <w:rFonts w:hint="default" w:ascii="Times New Roman" w:hAnsi="Times New Roman" w:cs="Times New Roman"/>
              </w:rPr>
            </w:pPr>
            <w:r>
              <w:rPr>
                <w:rFonts w:hint="default" w:ascii="Times New Roman" w:hAnsi="Times New Roman" w:cs="Times New Roman"/>
                <w:color w:val="333333"/>
                <w:spacing w:val="-14"/>
              </w:rPr>
              <w:t>总计</w:t>
            </w:r>
          </w:p>
        </w:tc>
        <w:tc>
          <w:tcPr>
            <w:tcW w:w="1365" w:type="dxa"/>
            <w:vAlign w:val="top"/>
          </w:tcPr>
          <w:p w14:paraId="4AFD0D66">
            <w:pPr>
              <w:pStyle w:val="18"/>
              <w:spacing w:before="176" w:line="181" w:lineRule="auto"/>
              <w:ind w:left="369"/>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67.20</w:t>
            </w:r>
          </w:p>
        </w:tc>
        <w:tc>
          <w:tcPr>
            <w:tcW w:w="1200" w:type="dxa"/>
            <w:vAlign w:val="top"/>
          </w:tcPr>
          <w:p w14:paraId="6F46F69D">
            <w:pPr>
              <w:pStyle w:val="18"/>
              <w:spacing w:before="176" w:line="181" w:lineRule="auto"/>
              <w:ind w:left="369"/>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184.90</w:t>
            </w:r>
          </w:p>
        </w:tc>
        <w:tc>
          <w:tcPr>
            <w:tcW w:w="1290" w:type="dxa"/>
            <w:vAlign w:val="top"/>
          </w:tcPr>
          <w:p w14:paraId="5D22E368">
            <w:pPr>
              <w:pStyle w:val="18"/>
              <w:spacing w:before="177" w:line="180" w:lineRule="auto"/>
              <w:ind w:left="501"/>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184.90</w:t>
            </w:r>
          </w:p>
        </w:tc>
        <w:tc>
          <w:tcPr>
            <w:tcW w:w="1050" w:type="dxa"/>
            <w:vAlign w:val="center"/>
          </w:tcPr>
          <w:p w14:paraId="084D9E09">
            <w:pPr>
              <w:bidi w:val="0"/>
              <w:jc w:val="center"/>
              <w:rPr>
                <w:rFonts w:hint="default" w:ascii="Times New Roman" w:hAnsi="Times New Roman" w:eastAsia="仿宋" w:cs="Times New Roman"/>
                <w:lang w:val="en-US" w:eastAsia="zh-CN"/>
              </w:rPr>
            </w:pPr>
            <w:r>
              <w:rPr>
                <w:rFonts w:hint="default" w:ascii="Times New Roman" w:hAnsi="Times New Roman" w:cs="Times New Roman"/>
                <w:lang w:val="en-US" w:eastAsia="zh-CN"/>
              </w:rPr>
              <w:t>100%</w:t>
            </w:r>
          </w:p>
        </w:tc>
      </w:tr>
    </w:tbl>
    <w:p w14:paraId="0AB9D5BA">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三、政府性基金预算支出情况</w:t>
      </w:r>
    </w:p>
    <w:p w14:paraId="348326D7">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无政府性基金预算支出。</w:t>
      </w:r>
    </w:p>
    <w:p w14:paraId="1F38A581">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四、国有资本经营预算支出情况</w:t>
      </w:r>
    </w:p>
    <w:p w14:paraId="175E1D93">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无国有资本经营预算支出。</w:t>
      </w:r>
    </w:p>
    <w:p w14:paraId="3EC7465D">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五、社会保险基金预算支出情况</w:t>
      </w:r>
    </w:p>
    <w:p w14:paraId="3F593F8C">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无社会保险基金预算支出。</w:t>
      </w:r>
    </w:p>
    <w:p w14:paraId="02B89DC7">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六、部门整体支出绩效情况</w:t>
      </w:r>
    </w:p>
    <w:p w14:paraId="6055745B">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根据市财政局要求，我单位以绩效评估为契机，认真对照评估指标，按照年度工作计划扎实推进财政支出绩效自评工作。2024年我单位全体干部职工积极履职、扎实工作，较好地完成了全年工作目标。</w:t>
      </w:r>
    </w:p>
    <w:p w14:paraId="7DBBD861">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主要经济指标运行情况</w:t>
      </w:r>
    </w:p>
    <w:p w14:paraId="356C8A2E">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全市实现地区生产总值（GDP）321.75亿元，同比增长4.6%，增速居益阳第4位。农林牧渔业总产值144.99亿元，同比增长2.9%，增速居益阳第3位。规模工业增加值同比增长7.4%，增速居益阳第1位。固定资产投资同比增长9.0%，增速居益阳第5位。社会消费品零售总额126.05亿元，同比增长6.2%，增速居益阳第3位。固定资产投资同比增长18.4%，增速居益阳第1位。地方一般公共预算收入16.20亿元，同比增长8.6%，增速居益阳第2位。全体居民人均可支配收入37577元，同比增长5.2%，增速居益阳第4位。</w:t>
      </w:r>
    </w:p>
    <w:p w14:paraId="59618099">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lang w:val="en-US" w:eastAsia="zh-CN"/>
        </w:rPr>
        <w:t>二</w:t>
      </w: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rPr>
        <w:t>紧扣参谋服务，监测分析精细精准</w:t>
      </w:r>
    </w:p>
    <w:p w14:paraId="41E69A78">
      <w:pPr>
        <w:keepNext w:val="0"/>
        <w:keepLines w:val="0"/>
        <w:pageBreakBefore w:val="0"/>
        <w:widowControl/>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shd w:val="clear" w:color="auto" w:fill="FFFFFF"/>
        </w:rPr>
        <w:t>一是经济运和监测有准度。联合农业、发改、科工、商务、文旅、住建、园区等部门建立了经济发展运行监测体系，做好及时全面的动态跟踪、预测、预警服务。工业、农业、贸易、投资等专业统计，精准监测发展动态，为社会公众提供大量统计信息；二是统计分析研究有深度。及时撰写统计分析，及时发布《统计公报》、《月度经济信息》等统计产品。每月、每季度适时对全市经济形势进行分析预警，指出经济发展中存在的突出问题，提出可行性意见建议，为市委市政府决策提供参考依据。</w:t>
      </w:r>
    </w:p>
    <w:p w14:paraId="0B04B4B8">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b w:val="0"/>
          <w:bCs/>
          <w:sz w:val="32"/>
          <w:szCs w:val="32"/>
          <w:lang w:eastAsia="zh-CN"/>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lang w:val="en-US" w:eastAsia="zh-CN"/>
        </w:rPr>
        <w:t>三</w:t>
      </w:r>
      <w:r>
        <w:rPr>
          <w:rFonts w:hint="eastAsia" w:ascii="楷体_GB2312" w:hAnsi="楷体_GB2312" w:eastAsia="楷体_GB2312" w:cs="楷体_GB2312"/>
          <w:b w:val="0"/>
          <w:bCs/>
          <w:sz w:val="32"/>
          <w:szCs w:val="32"/>
          <w:lang w:eastAsia="zh-CN"/>
        </w:rPr>
        <w:t>）坚持统计统筹兼顾，专业工作高效推进</w:t>
      </w:r>
    </w:p>
    <w:p w14:paraId="49C2B2BA">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一是统筹安排各专业月报、季报、年报，督促搞好报表的催报、数据审核、数据汇总、数据查询、解锁指导等工作； 二是做好统计入库工作。全力做好企业入规和项目入库指导服务工作，做到应统尽统，颗粒归仓；三是提升基层统计规范化建设。全市各镇（街道、中心）、园区统计基层基础规范化建设已达标9个； 四是精心部署，全面推进住户调查、粮食抽样调查、畜禽监测、劳动力调查、人口变动调查等各项调查工作。</w:t>
      </w:r>
    </w:p>
    <w:p w14:paraId="698075C0">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b w:val="0"/>
          <w:bCs/>
          <w:sz w:val="32"/>
          <w:szCs w:val="32"/>
          <w:lang w:eastAsia="zh-CN"/>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lang w:val="en-US" w:eastAsia="zh-CN"/>
        </w:rPr>
        <w:t>四</w:t>
      </w:r>
      <w:r>
        <w:rPr>
          <w:rFonts w:hint="eastAsia" w:ascii="楷体_GB2312" w:hAnsi="楷体_GB2312" w:eastAsia="楷体_GB2312" w:cs="楷体_GB2312"/>
          <w:b w:val="0"/>
          <w:bCs/>
          <w:sz w:val="32"/>
          <w:szCs w:val="32"/>
          <w:lang w:eastAsia="zh-CN"/>
        </w:rPr>
        <w:t>）增强法制意识，数据质量提高提升</w:t>
      </w:r>
    </w:p>
    <w:p w14:paraId="6CF8EDAD">
      <w:pPr>
        <w:pStyle w:val="16"/>
        <w:keepNext w:val="0"/>
        <w:keepLines w:val="0"/>
        <w:pageBreakBefore w:val="0"/>
        <w:widowControl/>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一是利用全国统计日、法制宣传日等契机，大力宣传《统计法》、《统计法实施条例》、《意见》、《办法》等各类统计法制文件； 二是将统计法律法规纳入市委党校主体班培训学习课程。4月9日，市统计局党组书记赴市委党校，为2024年度中青年干部培训班和上半年科级干部进修班学员进行了统计法律法规专题讲座； 三是不断加强统计法律法规学习培训。截至目前对工业、固投、商贸、农业、住户调查、劳动力调查等专业开展了18期共760余人次的业务培训，真正做到逢会必普法；四是坚持落实统计数据核查制度，常态化开展统计数据质量核查。坚持对新申报入库单位进行现场核查，对在单位进行动态管理。2024年1-9日，核查和清退停产、倒闭企业9家。严格按照“双随机”原则，组织对14家企业开展执法检查。通过开展普查宣传上、核查和检查，进一步夯实我市统计法治环境基础，全面提高统计数据质量。</w:t>
      </w:r>
    </w:p>
    <w:p w14:paraId="7B53ED19">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b w:val="0"/>
          <w:bCs/>
          <w:sz w:val="32"/>
          <w:szCs w:val="32"/>
          <w:lang w:eastAsia="zh-CN"/>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lang w:val="en-US" w:eastAsia="zh-CN"/>
        </w:rPr>
        <w:t>五</w:t>
      </w:r>
      <w:bookmarkStart w:id="0" w:name="_GoBack"/>
      <w:bookmarkEnd w:id="0"/>
      <w:r>
        <w:rPr>
          <w:rFonts w:hint="eastAsia" w:ascii="楷体_GB2312" w:hAnsi="楷体_GB2312" w:eastAsia="楷体_GB2312" w:cs="楷体_GB2312"/>
          <w:b w:val="0"/>
          <w:bCs/>
          <w:sz w:val="32"/>
          <w:szCs w:val="32"/>
          <w:lang w:eastAsia="zh-CN"/>
        </w:rPr>
        <w:t>）精心组织部署，经济普查有质有序</w:t>
      </w:r>
    </w:p>
    <w:p w14:paraId="476941F3">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一是组织机构健全。市乡均成立了强有力的普查领导机构和办公室，层层建立工作责任制。全市选配800多名普查员和普查指导员，构建了纵横交错的普查工作网络；二是普查宣传有力。认真落实“六个一”宣传要求，多措并举，为经济普查营造良好的社会氛围；三是业务培训全覆盖。通过多层次、多模式的业务培训，对全市所有“两员”和300多名“四上”企业统计员开展了严格的普查业务培训；四是单位清查到位。采取分片包干指导、专项督查检查、随机质量抽查、专业负责审核等有效措施，严格按照“逐街、逐栋、逐层、逐户、逐时”的工作要求，开展了”地毯式“单位清查登记。清查结果显示，全市共有非一套表单位6007个，一套表单位381个，个体户57016个； 五是正式登记扎实。2024年1-4月，组织两员开展入户登记。登记结果显示，我市二三产业法人单位与个体经营户单位个数及各项专业数据客观有效，充分反映了沅江经济发展现状。至</w:t>
      </w:r>
      <w:r>
        <w:rPr>
          <w:rFonts w:hint="eastAsia" w:ascii="仿宋_GB2312" w:hAnsi="仿宋_GB2312" w:eastAsia="仿宋_GB2312" w:cs="仿宋_GB2312"/>
          <w:bCs/>
          <w:kern w:val="0"/>
          <w:sz w:val="32"/>
          <w:szCs w:val="32"/>
          <w:lang w:val="en-US" w:eastAsia="zh-CN"/>
        </w:rPr>
        <w:t>2024年底</w:t>
      </w:r>
      <w:r>
        <w:rPr>
          <w:rFonts w:hint="eastAsia" w:ascii="仿宋_GB2312" w:hAnsi="仿宋_GB2312" w:eastAsia="仿宋_GB2312" w:cs="仿宋_GB2312"/>
          <w:bCs/>
          <w:kern w:val="0"/>
          <w:sz w:val="32"/>
          <w:szCs w:val="32"/>
        </w:rPr>
        <w:t>，经济普查主要阶段任务已圆满完成，下阶段将开展经济普查主要数据汇总、评估、发布，数据资料开发，普查总结工作。</w:t>
      </w:r>
    </w:p>
    <w:p w14:paraId="610A11D4">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黑体" w:cs="Times New Roman"/>
          <w:b w:val="0"/>
          <w:bCs w:val="0"/>
          <w:color w:val="auto"/>
          <w:sz w:val="32"/>
          <w:szCs w:val="32"/>
          <w:lang w:val="en-US" w:eastAsia="zh-CN"/>
        </w:rPr>
      </w:pPr>
      <w:r>
        <w:rPr>
          <w:rFonts w:hint="eastAsia" w:ascii="Times New Roman" w:hAnsi="Times New Roman" w:eastAsia="黑体" w:cs="Times New Roman"/>
          <w:b w:val="0"/>
          <w:bCs w:val="0"/>
          <w:color w:val="auto"/>
          <w:sz w:val="32"/>
          <w:szCs w:val="32"/>
          <w:lang w:val="en-US" w:eastAsia="zh-CN"/>
        </w:rPr>
        <w:t>七</w:t>
      </w:r>
      <w:r>
        <w:rPr>
          <w:rFonts w:hint="default" w:ascii="Times New Roman" w:hAnsi="Times New Roman" w:eastAsia="黑体" w:cs="Times New Roman"/>
          <w:b w:val="0"/>
          <w:bCs w:val="0"/>
          <w:color w:val="auto"/>
          <w:sz w:val="32"/>
          <w:szCs w:val="32"/>
          <w:lang w:val="en-US" w:eastAsia="zh-CN"/>
        </w:rPr>
        <w:t>、存在的主要问题</w:t>
      </w:r>
    </w:p>
    <w:p w14:paraId="55547976">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我局在编制部门年度预算时，虽然根据本单位职能职责和年度工作计划，但在202</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年部门预算执行过程中，仍然存在以下问题。比如，由于上级交办统计调查监测任务的突发性，一些无法预计和列入年初预算的项目支出，需要在年度中间进行预算追加和调整。</w:t>
      </w:r>
    </w:p>
    <w:p w14:paraId="3D056C89">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黑体" w:cs="Times New Roman"/>
          <w:b w:val="0"/>
          <w:bCs w:val="0"/>
          <w:color w:val="auto"/>
          <w:sz w:val="32"/>
          <w:szCs w:val="32"/>
          <w:lang w:val="en-US" w:eastAsia="zh-CN"/>
        </w:rPr>
      </w:pPr>
      <w:r>
        <w:rPr>
          <w:rFonts w:hint="eastAsia" w:ascii="Times New Roman" w:hAnsi="Times New Roman" w:eastAsia="黑体" w:cs="Times New Roman"/>
          <w:b w:val="0"/>
          <w:bCs w:val="0"/>
          <w:color w:val="auto"/>
          <w:sz w:val="32"/>
          <w:szCs w:val="32"/>
          <w:lang w:val="en-US" w:eastAsia="zh-CN"/>
        </w:rPr>
        <w:t>八</w:t>
      </w:r>
      <w:r>
        <w:rPr>
          <w:rFonts w:hint="default" w:ascii="Times New Roman" w:hAnsi="Times New Roman" w:eastAsia="黑体" w:cs="Times New Roman"/>
          <w:b w:val="0"/>
          <w:bCs w:val="0"/>
          <w:color w:val="auto"/>
          <w:sz w:val="32"/>
          <w:szCs w:val="32"/>
          <w:lang w:val="en-US" w:eastAsia="zh-CN"/>
        </w:rPr>
        <w:t>、改进措施有有关建议</w:t>
      </w:r>
    </w:p>
    <w:p w14:paraId="7B9AC09C">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楷体_GB2312" w:hAnsi="楷体_GB2312" w:eastAsia="楷体_GB2312" w:cs="楷体_GB2312"/>
          <w:b w:val="0"/>
          <w:bCs/>
          <w:sz w:val="32"/>
          <w:szCs w:val="32"/>
          <w:lang w:val="en-US" w:eastAsia="zh-CN"/>
        </w:rPr>
      </w:pPr>
      <w:r>
        <w:rPr>
          <w:rFonts w:hint="default" w:ascii="楷体_GB2312" w:hAnsi="楷体_GB2312" w:eastAsia="楷体_GB2312" w:cs="楷体_GB2312"/>
          <w:b w:val="0"/>
          <w:bCs/>
          <w:sz w:val="32"/>
          <w:szCs w:val="32"/>
          <w:lang w:val="en-US" w:eastAsia="zh-CN"/>
        </w:rPr>
        <w:t>（一）科学合理编制预算，严格执行预算</w:t>
      </w:r>
    </w:p>
    <w:p w14:paraId="70DFCD6C">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加强预算编制的前瞻性，按照《预算法》及其实施条例的相关规定，按政策规定及本部门的发展规划，结合上一年度预算执行情况和本年度预算收支变化因素，科学、合理地编制年度预算草案，避免项目支出与基本支出划分不准或预算支出与实际执行出现较大偏差的情况，执行中确需调剂预算的，按规定程序报经批准。</w:t>
      </w:r>
    </w:p>
    <w:p w14:paraId="0AB0DE2B">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楷体_GB2312" w:hAnsi="楷体_GB2312" w:eastAsia="楷体_GB2312" w:cs="楷体_GB2312"/>
          <w:b w:val="0"/>
          <w:bCs/>
          <w:sz w:val="32"/>
          <w:szCs w:val="32"/>
          <w:lang w:val="en-US" w:eastAsia="zh-CN"/>
        </w:rPr>
      </w:pPr>
      <w:r>
        <w:rPr>
          <w:rFonts w:hint="default" w:ascii="楷体_GB2312" w:hAnsi="楷体_GB2312" w:eastAsia="楷体_GB2312" w:cs="楷体_GB2312"/>
          <w:b w:val="0"/>
          <w:bCs/>
          <w:sz w:val="32"/>
          <w:szCs w:val="32"/>
          <w:lang w:val="en-US" w:eastAsia="zh-CN"/>
        </w:rPr>
        <w:t>（二）规范账务处理，提高财务信息质量</w:t>
      </w:r>
    </w:p>
    <w:p w14:paraId="0BC1BCD9">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严格按照《会计法》、《行政单位会计制度》、《行政单位财务规则》等规定，结合实际情况，科学设置支出科目，规范财务核算，完整披露相关信息。</w:t>
      </w:r>
    </w:p>
    <w:p w14:paraId="2212067B">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九、绩效自评结果拟应用和公开情况</w:t>
      </w:r>
    </w:p>
    <w:p w14:paraId="135AD196">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绩效自评结果将作为下一年部门预算安排的重要依据，与预算调整和项目安排挂钩。</w:t>
      </w:r>
      <w:r>
        <w:rPr>
          <w:rFonts w:hint="eastAsia" w:ascii="Times New Roman" w:hAnsi="Times New Roman" w:eastAsia="仿宋_GB2312" w:cs="Times New Roman"/>
          <w:color w:val="auto"/>
          <w:sz w:val="32"/>
          <w:szCs w:val="32"/>
          <w:lang w:val="en-US" w:eastAsia="zh-CN"/>
        </w:rPr>
        <w:t>并将按财政局统一安排</w:t>
      </w:r>
      <w:r>
        <w:rPr>
          <w:rFonts w:hint="default" w:ascii="Times New Roman" w:hAnsi="Times New Roman" w:eastAsia="仿宋_GB2312" w:cs="Times New Roman"/>
          <w:color w:val="auto"/>
          <w:sz w:val="32"/>
          <w:szCs w:val="32"/>
          <w:lang w:val="en-US" w:eastAsia="zh-CN"/>
        </w:rPr>
        <w:t>在</w:t>
      </w:r>
      <w:r>
        <w:rPr>
          <w:rFonts w:hint="eastAsia" w:ascii="Times New Roman" w:hAnsi="Times New Roman" w:eastAsia="仿宋_GB2312" w:cs="Times New Roman"/>
          <w:color w:val="auto"/>
          <w:sz w:val="32"/>
          <w:szCs w:val="32"/>
          <w:lang w:val="en-US" w:eastAsia="zh-CN"/>
        </w:rPr>
        <w:t>规定时间内在</w:t>
      </w:r>
      <w:r>
        <w:rPr>
          <w:rFonts w:hint="default" w:ascii="Times New Roman" w:hAnsi="Times New Roman" w:eastAsia="仿宋_GB2312" w:cs="Times New Roman"/>
          <w:color w:val="auto"/>
          <w:sz w:val="32"/>
          <w:szCs w:val="32"/>
          <w:lang w:val="en-US" w:eastAsia="zh-CN"/>
        </w:rPr>
        <w:t>政府网站公开。</w:t>
      </w:r>
    </w:p>
    <w:p w14:paraId="465A75BE">
      <w:pPr>
        <w:keepNext w:val="0"/>
        <w:keepLines w:val="0"/>
        <w:pageBreakBefore w:val="0"/>
        <w:widowControl/>
        <w:numPr>
          <w:numId w:val="0"/>
        </w:numPr>
        <w:kinsoku/>
        <w:wordWrap/>
        <w:overflowPunct/>
        <w:topLinePunct w:val="0"/>
        <w:autoSpaceDE/>
        <w:autoSpaceDN/>
        <w:bidi w:val="0"/>
        <w:adjustRightInd w:val="0"/>
        <w:snapToGrid w:val="0"/>
        <w:spacing w:after="0" w:line="560" w:lineRule="exact"/>
        <w:ind w:firstLine="640" w:firstLineChars="200"/>
        <w:textAlignment w:val="auto"/>
        <w:rPr>
          <w:rFonts w:hint="default"/>
          <w:lang w:val="en-US" w:eastAsia="zh-CN"/>
        </w:rPr>
      </w:pPr>
      <w:r>
        <w:rPr>
          <w:rFonts w:hint="eastAsia" w:ascii="黑体" w:hAnsi="黑体" w:eastAsia="黑体" w:cs="黑体"/>
          <w:color w:val="auto"/>
          <w:sz w:val="32"/>
          <w:szCs w:val="32"/>
          <w:lang w:val="en-US" w:eastAsia="zh-CN"/>
        </w:rPr>
        <w:t>十、其他需要说明的情况</w:t>
      </w:r>
    </w:p>
    <w:p w14:paraId="229E4764">
      <w:pPr>
        <w:pStyle w:val="10"/>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_GB2312" w:cs="Times New Roman"/>
          <w:color w:val="auto"/>
          <w:sz w:val="32"/>
          <w:szCs w:val="32"/>
          <w:lang w:val="en-US" w:eastAsia="zh-CN" w:bidi="ar-SA"/>
        </w:rPr>
      </w:pPr>
      <w:r>
        <w:rPr>
          <w:rFonts w:hint="eastAsia" w:ascii="Times New Roman" w:hAnsi="Times New Roman" w:eastAsia="仿宋_GB2312" w:cs="Times New Roman"/>
          <w:color w:val="auto"/>
          <w:sz w:val="32"/>
          <w:szCs w:val="32"/>
          <w:lang w:val="en-US" w:eastAsia="zh-CN" w:bidi="ar-SA"/>
        </w:rPr>
        <w:t>无</w:t>
      </w:r>
    </w:p>
    <w:sectPr>
      <w:pgSz w:w="11906" w:h="16838"/>
      <w:pgMar w:top="1440" w:right="1746" w:bottom="1440" w:left="1746" w:header="708" w:footer="709"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wZGY4OTE1ODNhMDhlOWY4NjI4ZDljMjA5NTc0ZTgifQ=="/>
  </w:docVars>
  <w:rsids>
    <w:rsidRoot w:val="00D31D50"/>
    <w:rsid w:val="000C024B"/>
    <w:rsid w:val="00124959"/>
    <w:rsid w:val="0013174D"/>
    <w:rsid w:val="00171CF5"/>
    <w:rsid w:val="002A6D5A"/>
    <w:rsid w:val="00323B43"/>
    <w:rsid w:val="003D37D8"/>
    <w:rsid w:val="00426133"/>
    <w:rsid w:val="004358AB"/>
    <w:rsid w:val="005739CD"/>
    <w:rsid w:val="00637E22"/>
    <w:rsid w:val="00744B39"/>
    <w:rsid w:val="00770A66"/>
    <w:rsid w:val="007C4466"/>
    <w:rsid w:val="00885B23"/>
    <w:rsid w:val="008B7726"/>
    <w:rsid w:val="0096620F"/>
    <w:rsid w:val="00C80901"/>
    <w:rsid w:val="00CB572B"/>
    <w:rsid w:val="00D31D50"/>
    <w:rsid w:val="011C5F10"/>
    <w:rsid w:val="01347A59"/>
    <w:rsid w:val="016172BF"/>
    <w:rsid w:val="01A06E9D"/>
    <w:rsid w:val="023D3300"/>
    <w:rsid w:val="0253581A"/>
    <w:rsid w:val="025C7268"/>
    <w:rsid w:val="026C549F"/>
    <w:rsid w:val="02A17179"/>
    <w:rsid w:val="03435D9E"/>
    <w:rsid w:val="034B2B0E"/>
    <w:rsid w:val="034F43C9"/>
    <w:rsid w:val="037D5A79"/>
    <w:rsid w:val="03BB4F41"/>
    <w:rsid w:val="0405748B"/>
    <w:rsid w:val="04117BDE"/>
    <w:rsid w:val="04133956"/>
    <w:rsid w:val="042E69E2"/>
    <w:rsid w:val="04302FB0"/>
    <w:rsid w:val="043F64EC"/>
    <w:rsid w:val="044D0311"/>
    <w:rsid w:val="049802FF"/>
    <w:rsid w:val="04A70542"/>
    <w:rsid w:val="04C13A7A"/>
    <w:rsid w:val="04DB1A61"/>
    <w:rsid w:val="04F96FF0"/>
    <w:rsid w:val="04FC088E"/>
    <w:rsid w:val="05047743"/>
    <w:rsid w:val="05080FE1"/>
    <w:rsid w:val="051E6CCA"/>
    <w:rsid w:val="05353DA0"/>
    <w:rsid w:val="0546150F"/>
    <w:rsid w:val="054737CD"/>
    <w:rsid w:val="05520F13"/>
    <w:rsid w:val="05740879"/>
    <w:rsid w:val="0575419C"/>
    <w:rsid w:val="05894EF0"/>
    <w:rsid w:val="059C6349"/>
    <w:rsid w:val="05EF26EA"/>
    <w:rsid w:val="06040A1E"/>
    <w:rsid w:val="063976EA"/>
    <w:rsid w:val="064F473F"/>
    <w:rsid w:val="06526DAE"/>
    <w:rsid w:val="067A369B"/>
    <w:rsid w:val="069468A4"/>
    <w:rsid w:val="06A14140"/>
    <w:rsid w:val="06B01054"/>
    <w:rsid w:val="06B96855"/>
    <w:rsid w:val="06CF0E53"/>
    <w:rsid w:val="06DA1986"/>
    <w:rsid w:val="06E14CC5"/>
    <w:rsid w:val="06E87FD5"/>
    <w:rsid w:val="0721638A"/>
    <w:rsid w:val="07222102"/>
    <w:rsid w:val="072639A0"/>
    <w:rsid w:val="072C03D9"/>
    <w:rsid w:val="0747770B"/>
    <w:rsid w:val="07C338E5"/>
    <w:rsid w:val="083D71F3"/>
    <w:rsid w:val="08422B79"/>
    <w:rsid w:val="08502502"/>
    <w:rsid w:val="08B12675"/>
    <w:rsid w:val="08E73603"/>
    <w:rsid w:val="0915541C"/>
    <w:rsid w:val="0932043E"/>
    <w:rsid w:val="09417B0B"/>
    <w:rsid w:val="096405EA"/>
    <w:rsid w:val="09894BCE"/>
    <w:rsid w:val="09AD65FB"/>
    <w:rsid w:val="09B517B0"/>
    <w:rsid w:val="09C6248A"/>
    <w:rsid w:val="0A0E69B1"/>
    <w:rsid w:val="0A424F95"/>
    <w:rsid w:val="0A5B3CD2"/>
    <w:rsid w:val="0A782765"/>
    <w:rsid w:val="0A9F55FE"/>
    <w:rsid w:val="0B5C0B7A"/>
    <w:rsid w:val="0B5D44B7"/>
    <w:rsid w:val="0BA8707A"/>
    <w:rsid w:val="0C061FF2"/>
    <w:rsid w:val="0C1229BB"/>
    <w:rsid w:val="0C1E2B1A"/>
    <w:rsid w:val="0C3A183D"/>
    <w:rsid w:val="0C3B1C9C"/>
    <w:rsid w:val="0C504C52"/>
    <w:rsid w:val="0C506AD5"/>
    <w:rsid w:val="0C887798"/>
    <w:rsid w:val="0C9C688C"/>
    <w:rsid w:val="0CA60F90"/>
    <w:rsid w:val="0D0522AA"/>
    <w:rsid w:val="0D154D94"/>
    <w:rsid w:val="0D190A55"/>
    <w:rsid w:val="0D5C636E"/>
    <w:rsid w:val="0D732C0D"/>
    <w:rsid w:val="0D7C07BE"/>
    <w:rsid w:val="0D896A37"/>
    <w:rsid w:val="0DB8556E"/>
    <w:rsid w:val="0E0B7D94"/>
    <w:rsid w:val="0E146C48"/>
    <w:rsid w:val="0E8A32A1"/>
    <w:rsid w:val="0EA174D3"/>
    <w:rsid w:val="0EC86851"/>
    <w:rsid w:val="0EEC54CF"/>
    <w:rsid w:val="0EF658E5"/>
    <w:rsid w:val="0F070A73"/>
    <w:rsid w:val="0F19203C"/>
    <w:rsid w:val="0F281D17"/>
    <w:rsid w:val="0F340782"/>
    <w:rsid w:val="0F366148"/>
    <w:rsid w:val="0F3D3F7D"/>
    <w:rsid w:val="0F5B5F98"/>
    <w:rsid w:val="0F7B4EF8"/>
    <w:rsid w:val="0F8000E5"/>
    <w:rsid w:val="0FC6126E"/>
    <w:rsid w:val="103A04BC"/>
    <w:rsid w:val="104355C3"/>
    <w:rsid w:val="104B10D7"/>
    <w:rsid w:val="106438CD"/>
    <w:rsid w:val="10754644"/>
    <w:rsid w:val="10A0102D"/>
    <w:rsid w:val="110A6210"/>
    <w:rsid w:val="110B7168"/>
    <w:rsid w:val="116A4DD1"/>
    <w:rsid w:val="11A7283F"/>
    <w:rsid w:val="11BB73DB"/>
    <w:rsid w:val="11BC5C71"/>
    <w:rsid w:val="11C12C43"/>
    <w:rsid w:val="1230423B"/>
    <w:rsid w:val="124C4BD7"/>
    <w:rsid w:val="12722A07"/>
    <w:rsid w:val="127557DC"/>
    <w:rsid w:val="12776598"/>
    <w:rsid w:val="1284272E"/>
    <w:rsid w:val="128D368C"/>
    <w:rsid w:val="129B73C3"/>
    <w:rsid w:val="12DA1AE3"/>
    <w:rsid w:val="132C05F4"/>
    <w:rsid w:val="137D0DEC"/>
    <w:rsid w:val="13A13D4C"/>
    <w:rsid w:val="13A3161B"/>
    <w:rsid w:val="13B74CD0"/>
    <w:rsid w:val="13CC1D73"/>
    <w:rsid w:val="13D749A0"/>
    <w:rsid w:val="13FD483E"/>
    <w:rsid w:val="148B1FF4"/>
    <w:rsid w:val="14AD3953"/>
    <w:rsid w:val="14DD260E"/>
    <w:rsid w:val="15505B36"/>
    <w:rsid w:val="1553476D"/>
    <w:rsid w:val="157416B8"/>
    <w:rsid w:val="157F5BE2"/>
    <w:rsid w:val="15801CFD"/>
    <w:rsid w:val="158B0C76"/>
    <w:rsid w:val="15BC718C"/>
    <w:rsid w:val="15D51EFA"/>
    <w:rsid w:val="161730F2"/>
    <w:rsid w:val="16585CC2"/>
    <w:rsid w:val="165C73DE"/>
    <w:rsid w:val="16683FED"/>
    <w:rsid w:val="16693353"/>
    <w:rsid w:val="16702E8A"/>
    <w:rsid w:val="1676667C"/>
    <w:rsid w:val="1694015B"/>
    <w:rsid w:val="169721C5"/>
    <w:rsid w:val="16995928"/>
    <w:rsid w:val="16AA1FA2"/>
    <w:rsid w:val="16B26DD4"/>
    <w:rsid w:val="16B62510"/>
    <w:rsid w:val="16BD2E04"/>
    <w:rsid w:val="16C32E36"/>
    <w:rsid w:val="16CA7467"/>
    <w:rsid w:val="16ED0036"/>
    <w:rsid w:val="16F10E80"/>
    <w:rsid w:val="17066DB7"/>
    <w:rsid w:val="171B2DF6"/>
    <w:rsid w:val="172D48D7"/>
    <w:rsid w:val="17533955"/>
    <w:rsid w:val="175E6D87"/>
    <w:rsid w:val="178A529B"/>
    <w:rsid w:val="17B826BB"/>
    <w:rsid w:val="17D47448"/>
    <w:rsid w:val="17E753A7"/>
    <w:rsid w:val="180E4708"/>
    <w:rsid w:val="180F7362"/>
    <w:rsid w:val="18153CE9"/>
    <w:rsid w:val="186E33F9"/>
    <w:rsid w:val="187D473C"/>
    <w:rsid w:val="188D1AD1"/>
    <w:rsid w:val="18AA14C9"/>
    <w:rsid w:val="18D359E0"/>
    <w:rsid w:val="19006747"/>
    <w:rsid w:val="191B54B8"/>
    <w:rsid w:val="19324C10"/>
    <w:rsid w:val="194A415F"/>
    <w:rsid w:val="199E3D13"/>
    <w:rsid w:val="19A74E14"/>
    <w:rsid w:val="19AC709D"/>
    <w:rsid w:val="19E971DB"/>
    <w:rsid w:val="1A271AB1"/>
    <w:rsid w:val="1A591FE2"/>
    <w:rsid w:val="1A664BA0"/>
    <w:rsid w:val="1A797CA6"/>
    <w:rsid w:val="1AA220BD"/>
    <w:rsid w:val="1AAB4994"/>
    <w:rsid w:val="1ABC48F0"/>
    <w:rsid w:val="1AE71241"/>
    <w:rsid w:val="1B1765CA"/>
    <w:rsid w:val="1B4C3675"/>
    <w:rsid w:val="1B672898"/>
    <w:rsid w:val="1BEF65A7"/>
    <w:rsid w:val="1BF14125"/>
    <w:rsid w:val="1BF61549"/>
    <w:rsid w:val="1C0403E2"/>
    <w:rsid w:val="1C2D5A5D"/>
    <w:rsid w:val="1C602550"/>
    <w:rsid w:val="1CAD7030"/>
    <w:rsid w:val="1CB6536F"/>
    <w:rsid w:val="1CC8350F"/>
    <w:rsid w:val="1CD2295B"/>
    <w:rsid w:val="1D250640"/>
    <w:rsid w:val="1D305121"/>
    <w:rsid w:val="1D4B34D5"/>
    <w:rsid w:val="1D825429"/>
    <w:rsid w:val="1DD45AAC"/>
    <w:rsid w:val="1DD60FD9"/>
    <w:rsid w:val="1E101BDE"/>
    <w:rsid w:val="1E413F35"/>
    <w:rsid w:val="1E560BB7"/>
    <w:rsid w:val="1E984D2C"/>
    <w:rsid w:val="1EB45554"/>
    <w:rsid w:val="1EB46311"/>
    <w:rsid w:val="1EDF295B"/>
    <w:rsid w:val="1F170F70"/>
    <w:rsid w:val="1F2F74D1"/>
    <w:rsid w:val="1F9A27DF"/>
    <w:rsid w:val="1FB44C91"/>
    <w:rsid w:val="1FB55479"/>
    <w:rsid w:val="1FE4631A"/>
    <w:rsid w:val="1FE57613"/>
    <w:rsid w:val="20052895"/>
    <w:rsid w:val="2057321B"/>
    <w:rsid w:val="206155F1"/>
    <w:rsid w:val="206736A1"/>
    <w:rsid w:val="208A2D9A"/>
    <w:rsid w:val="20902E1C"/>
    <w:rsid w:val="20966805"/>
    <w:rsid w:val="20AF2801"/>
    <w:rsid w:val="20C469A0"/>
    <w:rsid w:val="20E84F22"/>
    <w:rsid w:val="21117017"/>
    <w:rsid w:val="211942FF"/>
    <w:rsid w:val="21415B4F"/>
    <w:rsid w:val="21416CA9"/>
    <w:rsid w:val="21686EA6"/>
    <w:rsid w:val="21B71BFA"/>
    <w:rsid w:val="21E5233A"/>
    <w:rsid w:val="221367A8"/>
    <w:rsid w:val="22175A8E"/>
    <w:rsid w:val="223024F8"/>
    <w:rsid w:val="224E4099"/>
    <w:rsid w:val="22516416"/>
    <w:rsid w:val="22A40DDB"/>
    <w:rsid w:val="22DB5B2F"/>
    <w:rsid w:val="23072480"/>
    <w:rsid w:val="233D5EA2"/>
    <w:rsid w:val="237B09B5"/>
    <w:rsid w:val="23E10F23"/>
    <w:rsid w:val="23E17900"/>
    <w:rsid w:val="242C0062"/>
    <w:rsid w:val="243B0292"/>
    <w:rsid w:val="24741D97"/>
    <w:rsid w:val="24F30FD0"/>
    <w:rsid w:val="251102A8"/>
    <w:rsid w:val="25311959"/>
    <w:rsid w:val="2583335B"/>
    <w:rsid w:val="25C75EA3"/>
    <w:rsid w:val="25DC054B"/>
    <w:rsid w:val="25F136F5"/>
    <w:rsid w:val="260C7C4D"/>
    <w:rsid w:val="267E4132"/>
    <w:rsid w:val="268E15C3"/>
    <w:rsid w:val="2694062E"/>
    <w:rsid w:val="2697709C"/>
    <w:rsid w:val="26A24E8A"/>
    <w:rsid w:val="26A83F7A"/>
    <w:rsid w:val="26B26BA7"/>
    <w:rsid w:val="26C77C58"/>
    <w:rsid w:val="26DE174A"/>
    <w:rsid w:val="274375E5"/>
    <w:rsid w:val="27C052F3"/>
    <w:rsid w:val="27E50285"/>
    <w:rsid w:val="27FF5E1C"/>
    <w:rsid w:val="2810627B"/>
    <w:rsid w:val="285C326E"/>
    <w:rsid w:val="285D1CEC"/>
    <w:rsid w:val="289B1B56"/>
    <w:rsid w:val="28B66667"/>
    <w:rsid w:val="28EA2628"/>
    <w:rsid w:val="2920429C"/>
    <w:rsid w:val="292D1253"/>
    <w:rsid w:val="293730BD"/>
    <w:rsid w:val="29606D8E"/>
    <w:rsid w:val="297044A9"/>
    <w:rsid w:val="2984482A"/>
    <w:rsid w:val="29916F47"/>
    <w:rsid w:val="29955BFA"/>
    <w:rsid w:val="29D15596"/>
    <w:rsid w:val="29E762F1"/>
    <w:rsid w:val="2A221E77"/>
    <w:rsid w:val="2A757FC2"/>
    <w:rsid w:val="2A9D36CA"/>
    <w:rsid w:val="2AC53294"/>
    <w:rsid w:val="2AC70C2D"/>
    <w:rsid w:val="2ACA7DC3"/>
    <w:rsid w:val="2B1229D2"/>
    <w:rsid w:val="2B200583"/>
    <w:rsid w:val="2B231AD9"/>
    <w:rsid w:val="2B3D2766"/>
    <w:rsid w:val="2B4072F2"/>
    <w:rsid w:val="2B4421AD"/>
    <w:rsid w:val="2B46709A"/>
    <w:rsid w:val="2B6B0121"/>
    <w:rsid w:val="2B6C1A1A"/>
    <w:rsid w:val="2B8E7148"/>
    <w:rsid w:val="2BA03743"/>
    <w:rsid w:val="2BAE3DE1"/>
    <w:rsid w:val="2BB46F1D"/>
    <w:rsid w:val="2BF10171"/>
    <w:rsid w:val="2C1907E3"/>
    <w:rsid w:val="2C697D08"/>
    <w:rsid w:val="2C913BE3"/>
    <w:rsid w:val="2CAF7EEF"/>
    <w:rsid w:val="2D344AED"/>
    <w:rsid w:val="2D344F04"/>
    <w:rsid w:val="2D6217E5"/>
    <w:rsid w:val="2D6C37DA"/>
    <w:rsid w:val="2D804D0A"/>
    <w:rsid w:val="2DD16F8C"/>
    <w:rsid w:val="2DF77522"/>
    <w:rsid w:val="2DF87595"/>
    <w:rsid w:val="2DFC3436"/>
    <w:rsid w:val="2E0B1452"/>
    <w:rsid w:val="2E0F3E90"/>
    <w:rsid w:val="2E156ECB"/>
    <w:rsid w:val="2E1C4FD1"/>
    <w:rsid w:val="2E3D144C"/>
    <w:rsid w:val="2E47649E"/>
    <w:rsid w:val="2ED27DE6"/>
    <w:rsid w:val="2ED81EAA"/>
    <w:rsid w:val="2F33519D"/>
    <w:rsid w:val="2F644FD6"/>
    <w:rsid w:val="2F810ECF"/>
    <w:rsid w:val="2F865E31"/>
    <w:rsid w:val="2FE20E7F"/>
    <w:rsid w:val="2FF47DBC"/>
    <w:rsid w:val="304F3CA8"/>
    <w:rsid w:val="30881604"/>
    <w:rsid w:val="30B32943"/>
    <w:rsid w:val="30E70D52"/>
    <w:rsid w:val="310222BB"/>
    <w:rsid w:val="31037DAE"/>
    <w:rsid w:val="31073AC4"/>
    <w:rsid w:val="31101BCF"/>
    <w:rsid w:val="311741D6"/>
    <w:rsid w:val="31961350"/>
    <w:rsid w:val="3199108F"/>
    <w:rsid w:val="31B1462B"/>
    <w:rsid w:val="31B8363D"/>
    <w:rsid w:val="31B95C4F"/>
    <w:rsid w:val="322F72FD"/>
    <w:rsid w:val="32335040"/>
    <w:rsid w:val="32430FFB"/>
    <w:rsid w:val="32604C7A"/>
    <w:rsid w:val="32673AB6"/>
    <w:rsid w:val="32674CE9"/>
    <w:rsid w:val="328345F6"/>
    <w:rsid w:val="32F0709E"/>
    <w:rsid w:val="339977DD"/>
    <w:rsid w:val="33A31D51"/>
    <w:rsid w:val="33A473C7"/>
    <w:rsid w:val="33B20C86"/>
    <w:rsid w:val="33D12600"/>
    <w:rsid w:val="34463BA5"/>
    <w:rsid w:val="34572997"/>
    <w:rsid w:val="346431FB"/>
    <w:rsid w:val="347A36C3"/>
    <w:rsid w:val="34925708"/>
    <w:rsid w:val="349B6B3E"/>
    <w:rsid w:val="34CF3046"/>
    <w:rsid w:val="34F41E5B"/>
    <w:rsid w:val="34F62354"/>
    <w:rsid w:val="35204A77"/>
    <w:rsid w:val="35380A01"/>
    <w:rsid w:val="35460A8C"/>
    <w:rsid w:val="354D220B"/>
    <w:rsid w:val="35A65C2B"/>
    <w:rsid w:val="35E326A8"/>
    <w:rsid w:val="35FA35F5"/>
    <w:rsid w:val="36066CF6"/>
    <w:rsid w:val="36193486"/>
    <w:rsid w:val="36287557"/>
    <w:rsid w:val="365146BF"/>
    <w:rsid w:val="367D2CAC"/>
    <w:rsid w:val="36DA1CFA"/>
    <w:rsid w:val="36E83F1F"/>
    <w:rsid w:val="36F022CF"/>
    <w:rsid w:val="37054AD1"/>
    <w:rsid w:val="37296A11"/>
    <w:rsid w:val="37405B09"/>
    <w:rsid w:val="378F2BFC"/>
    <w:rsid w:val="37AC0BF0"/>
    <w:rsid w:val="37E8067A"/>
    <w:rsid w:val="37F4701F"/>
    <w:rsid w:val="3827024A"/>
    <w:rsid w:val="38455ACD"/>
    <w:rsid w:val="38A345A1"/>
    <w:rsid w:val="38DD2525"/>
    <w:rsid w:val="39A72DB0"/>
    <w:rsid w:val="39C10FAE"/>
    <w:rsid w:val="3A0214FB"/>
    <w:rsid w:val="3A6A181A"/>
    <w:rsid w:val="3A972F51"/>
    <w:rsid w:val="3ACC177D"/>
    <w:rsid w:val="3ADC7A13"/>
    <w:rsid w:val="3AFA09DC"/>
    <w:rsid w:val="3B0660C8"/>
    <w:rsid w:val="3B267A7E"/>
    <w:rsid w:val="3B446BEF"/>
    <w:rsid w:val="3B4B164C"/>
    <w:rsid w:val="3B8D713D"/>
    <w:rsid w:val="3BA0301A"/>
    <w:rsid w:val="3BA06401"/>
    <w:rsid w:val="3BD47A9C"/>
    <w:rsid w:val="3BD70363"/>
    <w:rsid w:val="3BD86C58"/>
    <w:rsid w:val="3BDD6F36"/>
    <w:rsid w:val="3BFE66BE"/>
    <w:rsid w:val="3C060A88"/>
    <w:rsid w:val="3C60442D"/>
    <w:rsid w:val="3C6F136A"/>
    <w:rsid w:val="3CE8111C"/>
    <w:rsid w:val="3CEC29BB"/>
    <w:rsid w:val="3D0D2931"/>
    <w:rsid w:val="3D192362"/>
    <w:rsid w:val="3D333F81"/>
    <w:rsid w:val="3D47370E"/>
    <w:rsid w:val="3D5347E8"/>
    <w:rsid w:val="3D630B10"/>
    <w:rsid w:val="3D7F4DD5"/>
    <w:rsid w:val="3D8C2B40"/>
    <w:rsid w:val="3DF559CB"/>
    <w:rsid w:val="3E0A408B"/>
    <w:rsid w:val="3E3C6CBB"/>
    <w:rsid w:val="3EA6076E"/>
    <w:rsid w:val="3F0A59C5"/>
    <w:rsid w:val="3F0D16E6"/>
    <w:rsid w:val="3F230938"/>
    <w:rsid w:val="3F400D9C"/>
    <w:rsid w:val="3F584337"/>
    <w:rsid w:val="3F6C1B91"/>
    <w:rsid w:val="3FAB3B0A"/>
    <w:rsid w:val="3FD554A4"/>
    <w:rsid w:val="3FEC7175"/>
    <w:rsid w:val="40034E0D"/>
    <w:rsid w:val="401D21B3"/>
    <w:rsid w:val="403B22F8"/>
    <w:rsid w:val="40550877"/>
    <w:rsid w:val="409C46F8"/>
    <w:rsid w:val="40BC0BE7"/>
    <w:rsid w:val="40E368A3"/>
    <w:rsid w:val="40EE65D6"/>
    <w:rsid w:val="41363D7B"/>
    <w:rsid w:val="416D23FB"/>
    <w:rsid w:val="41CB5A84"/>
    <w:rsid w:val="41FD4D22"/>
    <w:rsid w:val="42092611"/>
    <w:rsid w:val="42400AA7"/>
    <w:rsid w:val="4266039B"/>
    <w:rsid w:val="427D40B5"/>
    <w:rsid w:val="42D70932"/>
    <w:rsid w:val="42DD6902"/>
    <w:rsid w:val="42FC0FCD"/>
    <w:rsid w:val="4326608A"/>
    <w:rsid w:val="43526C29"/>
    <w:rsid w:val="43904295"/>
    <w:rsid w:val="43A044FF"/>
    <w:rsid w:val="43AC15BA"/>
    <w:rsid w:val="43CA656B"/>
    <w:rsid w:val="43FD3D45"/>
    <w:rsid w:val="441F72F5"/>
    <w:rsid w:val="442318CF"/>
    <w:rsid w:val="44312CBD"/>
    <w:rsid w:val="44446C38"/>
    <w:rsid w:val="445D7145"/>
    <w:rsid w:val="448C5A49"/>
    <w:rsid w:val="44AC1DB5"/>
    <w:rsid w:val="44E444FD"/>
    <w:rsid w:val="44ED72D0"/>
    <w:rsid w:val="451E2C20"/>
    <w:rsid w:val="451E392D"/>
    <w:rsid w:val="45265C19"/>
    <w:rsid w:val="453E5D7D"/>
    <w:rsid w:val="454D5FC1"/>
    <w:rsid w:val="45516F1A"/>
    <w:rsid w:val="45603F46"/>
    <w:rsid w:val="45806396"/>
    <w:rsid w:val="45835E86"/>
    <w:rsid w:val="45C10B4B"/>
    <w:rsid w:val="45C30101"/>
    <w:rsid w:val="45CB35D1"/>
    <w:rsid w:val="463679B2"/>
    <w:rsid w:val="464253F9"/>
    <w:rsid w:val="464A0B48"/>
    <w:rsid w:val="46516E79"/>
    <w:rsid w:val="469833D5"/>
    <w:rsid w:val="46AE2A8F"/>
    <w:rsid w:val="46BA1434"/>
    <w:rsid w:val="46DD5122"/>
    <w:rsid w:val="46F968A0"/>
    <w:rsid w:val="47172C63"/>
    <w:rsid w:val="47370CD6"/>
    <w:rsid w:val="47B537B8"/>
    <w:rsid w:val="47B71E17"/>
    <w:rsid w:val="47D33148"/>
    <w:rsid w:val="47F00E85"/>
    <w:rsid w:val="47FE35A2"/>
    <w:rsid w:val="481A0934"/>
    <w:rsid w:val="484B1645"/>
    <w:rsid w:val="487C7F87"/>
    <w:rsid w:val="488961AE"/>
    <w:rsid w:val="489932CB"/>
    <w:rsid w:val="48C47AA6"/>
    <w:rsid w:val="4905004E"/>
    <w:rsid w:val="491C63D6"/>
    <w:rsid w:val="494D2A33"/>
    <w:rsid w:val="49515519"/>
    <w:rsid w:val="4977185E"/>
    <w:rsid w:val="498E6E75"/>
    <w:rsid w:val="49900B72"/>
    <w:rsid w:val="49C23734"/>
    <w:rsid w:val="49D03FE2"/>
    <w:rsid w:val="49D41E89"/>
    <w:rsid w:val="4A1B450F"/>
    <w:rsid w:val="4A286FFC"/>
    <w:rsid w:val="4A37439A"/>
    <w:rsid w:val="4A4060F4"/>
    <w:rsid w:val="4A527BD5"/>
    <w:rsid w:val="4A8204BA"/>
    <w:rsid w:val="4AA31FC6"/>
    <w:rsid w:val="4AC51A55"/>
    <w:rsid w:val="4AF3760A"/>
    <w:rsid w:val="4B81228A"/>
    <w:rsid w:val="4B830CD9"/>
    <w:rsid w:val="4C4D29E0"/>
    <w:rsid w:val="4C9452FC"/>
    <w:rsid w:val="4CD945DE"/>
    <w:rsid w:val="4CF06C16"/>
    <w:rsid w:val="4D2B360B"/>
    <w:rsid w:val="4D2B5F95"/>
    <w:rsid w:val="4D3837E1"/>
    <w:rsid w:val="4D3A5D1E"/>
    <w:rsid w:val="4D5524C3"/>
    <w:rsid w:val="4D656C72"/>
    <w:rsid w:val="4D886A37"/>
    <w:rsid w:val="4DB628D5"/>
    <w:rsid w:val="4DBC3CE3"/>
    <w:rsid w:val="4DF72F6D"/>
    <w:rsid w:val="4E1A2276"/>
    <w:rsid w:val="4E317070"/>
    <w:rsid w:val="4E3213F5"/>
    <w:rsid w:val="4E832A53"/>
    <w:rsid w:val="4EB62EFB"/>
    <w:rsid w:val="4ED76F9A"/>
    <w:rsid w:val="4EE94FAC"/>
    <w:rsid w:val="4F062B16"/>
    <w:rsid w:val="4F816541"/>
    <w:rsid w:val="4FBD3D43"/>
    <w:rsid w:val="4FCE7CFE"/>
    <w:rsid w:val="4FDD6FDF"/>
    <w:rsid w:val="50142188"/>
    <w:rsid w:val="50697A27"/>
    <w:rsid w:val="508863E9"/>
    <w:rsid w:val="50B43398"/>
    <w:rsid w:val="50CD6212"/>
    <w:rsid w:val="50E85A6C"/>
    <w:rsid w:val="50F45358"/>
    <w:rsid w:val="50FE4613"/>
    <w:rsid w:val="511856D5"/>
    <w:rsid w:val="51302DE5"/>
    <w:rsid w:val="51342049"/>
    <w:rsid w:val="51616A07"/>
    <w:rsid w:val="51B33DEF"/>
    <w:rsid w:val="51B90304"/>
    <w:rsid w:val="51DF20AE"/>
    <w:rsid w:val="52040C60"/>
    <w:rsid w:val="522956BF"/>
    <w:rsid w:val="523A1F95"/>
    <w:rsid w:val="525E180D"/>
    <w:rsid w:val="527414FE"/>
    <w:rsid w:val="52970A07"/>
    <w:rsid w:val="52B453DA"/>
    <w:rsid w:val="52CB49C9"/>
    <w:rsid w:val="52D921AA"/>
    <w:rsid w:val="52FC5C5D"/>
    <w:rsid w:val="53393CA5"/>
    <w:rsid w:val="536534BE"/>
    <w:rsid w:val="53691F46"/>
    <w:rsid w:val="53993F25"/>
    <w:rsid w:val="53BA6F56"/>
    <w:rsid w:val="540C5299"/>
    <w:rsid w:val="54297261"/>
    <w:rsid w:val="54614FEC"/>
    <w:rsid w:val="549404BB"/>
    <w:rsid w:val="54B55177"/>
    <w:rsid w:val="54C8393F"/>
    <w:rsid w:val="550146D2"/>
    <w:rsid w:val="550C309E"/>
    <w:rsid w:val="551F124E"/>
    <w:rsid w:val="5525116B"/>
    <w:rsid w:val="55766A33"/>
    <w:rsid w:val="55E839F8"/>
    <w:rsid w:val="560235A5"/>
    <w:rsid w:val="562205B5"/>
    <w:rsid w:val="5630526E"/>
    <w:rsid w:val="568B3425"/>
    <w:rsid w:val="569A3F08"/>
    <w:rsid w:val="56A25983"/>
    <w:rsid w:val="56C47780"/>
    <w:rsid w:val="570D4422"/>
    <w:rsid w:val="5712700E"/>
    <w:rsid w:val="571A6334"/>
    <w:rsid w:val="572C15D8"/>
    <w:rsid w:val="577949F3"/>
    <w:rsid w:val="57C2560D"/>
    <w:rsid w:val="57D47FFC"/>
    <w:rsid w:val="57E001D9"/>
    <w:rsid w:val="57F62270"/>
    <w:rsid w:val="58006EC2"/>
    <w:rsid w:val="586B7165"/>
    <w:rsid w:val="58B4711A"/>
    <w:rsid w:val="58B92FD5"/>
    <w:rsid w:val="59011BD4"/>
    <w:rsid w:val="5935212B"/>
    <w:rsid w:val="59352B9C"/>
    <w:rsid w:val="593A05CD"/>
    <w:rsid w:val="595B43D6"/>
    <w:rsid w:val="596F60AE"/>
    <w:rsid w:val="59887901"/>
    <w:rsid w:val="59942A0C"/>
    <w:rsid w:val="599C2C1B"/>
    <w:rsid w:val="59B37B0A"/>
    <w:rsid w:val="59F42A57"/>
    <w:rsid w:val="5A161B03"/>
    <w:rsid w:val="5A3B5E26"/>
    <w:rsid w:val="5A6000EC"/>
    <w:rsid w:val="5A932270"/>
    <w:rsid w:val="5A971D60"/>
    <w:rsid w:val="5AAB580B"/>
    <w:rsid w:val="5ADE51E8"/>
    <w:rsid w:val="5AE57CE9"/>
    <w:rsid w:val="5AFF3461"/>
    <w:rsid w:val="5B194257"/>
    <w:rsid w:val="5B49141E"/>
    <w:rsid w:val="5B7552A0"/>
    <w:rsid w:val="5C0410F4"/>
    <w:rsid w:val="5C456B8A"/>
    <w:rsid w:val="5C4651DB"/>
    <w:rsid w:val="5C6C0543"/>
    <w:rsid w:val="5C702869"/>
    <w:rsid w:val="5C844566"/>
    <w:rsid w:val="5CE43D06"/>
    <w:rsid w:val="5D0F6CD8"/>
    <w:rsid w:val="5D763F27"/>
    <w:rsid w:val="5D911E7D"/>
    <w:rsid w:val="5DA547B7"/>
    <w:rsid w:val="5DCD5A99"/>
    <w:rsid w:val="5DF254FF"/>
    <w:rsid w:val="5E1611EE"/>
    <w:rsid w:val="5E34589E"/>
    <w:rsid w:val="5E3F4A69"/>
    <w:rsid w:val="5E50457E"/>
    <w:rsid w:val="5E660245"/>
    <w:rsid w:val="5E956E71"/>
    <w:rsid w:val="5EDB69C0"/>
    <w:rsid w:val="5EF13A09"/>
    <w:rsid w:val="5EFF6126"/>
    <w:rsid w:val="5F667A70"/>
    <w:rsid w:val="5F8D39CC"/>
    <w:rsid w:val="5FA34D03"/>
    <w:rsid w:val="5FAD45A1"/>
    <w:rsid w:val="5FC866AF"/>
    <w:rsid w:val="60205B48"/>
    <w:rsid w:val="603E1830"/>
    <w:rsid w:val="604C539B"/>
    <w:rsid w:val="60AD0263"/>
    <w:rsid w:val="60C72C73"/>
    <w:rsid w:val="615362B5"/>
    <w:rsid w:val="61744FE8"/>
    <w:rsid w:val="617C7206"/>
    <w:rsid w:val="61953EF5"/>
    <w:rsid w:val="61AC2996"/>
    <w:rsid w:val="61E138C1"/>
    <w:rsid w:val="61E60992"/>
    <w:rsid w:val="623600B0"/>
    <w:rsid w:val="627E7362"/>
    <w:rsid w:val="6291178B"/>
    <w:rsid w:val="62B5472A"/>
    <w:rsid w:val="62CF0234"/>
    <w:rsid w:val="62E07DBF"/>
    <w:rsid w:val="62FC4EB9"/>
    <w:rsid w:val="63542CBB"/>
    <w:rsid w:val="635D78BF"/>
    <w:rsid w:val="636B3D8A"/>
    <w:rsid w:val="63911317"/>
    <w:rsid w:val="63915694"/>
    <w:rsid w:val="63B85697"/>
    <w:rsid w:val="63C136D0"/>
    <w:rsid w:val="63DE6C04"/>
    <w:rsid w:val="63E31794"/>
    <w:rsid w:val="6408782B"/>
    <w:rsid w:val="64721E7E"/>
    <w:rsid w:val="64760C38"/>
    <w:rsid w:val="64C3080A"/>
    <w:rsid w:val="64C64FF0"/>
    <w:rsid w:val="650E74F3"/>
    <w:rsid w:val="654752D4"/>
    <w:rsid w:val="6563794C"/>
    <w:rsid w:val="65F31009"/>
    <w:rsid w:val="65F6276B"/>
    <w:rsid w:val="66200EFA"/>
    <w:rsid w:val="665078F0"/>
    <w:rsid w:val="66A12A30"/>
    <w:rsid w:val="66CF2591"/>
    <w:rsid w:val="67006EDF"/>
    <w:rsid w:val="673352D2"/>
    <w:rsid w:val="677322A8"/>
    <w:rsid w:val="679F475F"/>
    <w:rsid w:val="67B659CE"/>
    <w:rsid w:val="67D5211A"/>
    <w:rsid w:val="67D7456F"/>
    <w:rsid w:val="67EB25F5"/>
    <w:rsid w:val="67FC1454"/>
    <w:rsid w:val="6829511B"/>
    <w:rsid w:val="682C7254"/>
    <w:rsid w:val="68331B39"/>
    <w:rsid w:val="683F4000"/>
    <w:rsid w:val="68400BE1"/>
    <w:rsid w:val="684352D5"/>
    <w:rsid w:val="68570D81"/>
    <w:rsid w:val="68605231"/>
    <w:rsid w:val="6888718C"/>
    <w:rsid w:val="689649FB"/>
    <w:rsid w:val="68AD274F"/>
    <w:rsid w:val="68C77CB4"/>
    <w:rsid w:val="68CD072D"/>
    <w:rsid w:val="68DB5F78"/>
    <w:rsid w:val="69196036"/>
    <w:rsid w:val="6948725F"/>
    <w:rsid w:val="698916EB"/>
    <w:rsid w:val="69A41DA4"/>
    <w:rsid w:val="69B1626F"/>
    <w:rsid w:val="69BA45D8"/>
    <w:rsid w:val="69EE301F"/>
    <w:rsid w:val="6A12014A"/>
    <w:rsid w:val="6A134842"/>
    <w:rsid w:val="6A2A0C31"/>
    <w:rsid w:val="6A2E5B11"/>
    <w:rsid w:val="6A3173CE"/>
    <w:rsid w:val="6A472AFB"/>
    <w:rsid w:val="6A5437CA"/>
    <w:rsid w:val="6A7A2B04"/>
    <w:rsid w:val="6A8B1839"/>
    <w:rsid w:val="6A975464"/>
    <w:rsid w:val="6AB86D2D"/>
    <w:rsid w:val="6AC366C2"/>
    <w:rsid w:val="6AF00228"/>
    <w:rsid w:val="6AF06692"/>
    <w:rsid w:val="6B133238"/>
    <w:rsid w:val="6B2F382C"/>
    <w:rsid w:val="6B7F769F"/>
    <w:rsid w:val="6B855511"/>
    <w:rsid w:val="6B8A6D77"/>
    <w:rsid w:val="6B944D1A"/>
    <w:rsid w:val="6B9E1FFC"/>
    <w:rsid w:val="6BDF2059"/>
    <w:rsid w:val="6BF95367"/>
    <w:rsid w:val="6C00054D"/>
    <w:rsid w:val="6C3E2962"/>
    <w:rsid w:val="6C501D6F"/>
    <w:rsid w:val="6C726189"/>
    <w:rsid w:val="6CD74CC6"/>
    <w:rsid w:val="6CD76364"/>
    <w:rsid w:val="6CFB5854"/>
    <w:rsid w:val="6D417909"/>
    <w:rsid w:val="6D4C69DA"/>
    <w:rsid w:val="6D676F3E"/>
    <w:rsid w:val="6DA93E2C"/>
    <w:rsid w:val="6DEA7BD6"/>
    <w:rsid w:val="6E1868BC"/>
    <w:rsid w:val="6E2A597B"/>
    <w:rsid w:val="6E463C54"/>
    <w:rsid w:val="6E4D30B6"/>
    <w:rsid w:val="6E731D44"/>
    <w:rsid w:val="6E7C4AAC"/>
    <w:rsid w:val="6E81141A"/>
    <w:rsid w:val="6E8A3125"/>
    <w:rsid w:val="6E904DD3"/>
    <w:rsid w:val="6EA63EC8"/>
    <w:rsid w:val="6EAD2FB2"/>
    <w:rsid w:val="6EEB0B32"/>
    <w:rsid w:val="6F082EAF"/>
    <w:rsid w:val="6F374334"/>
    <w:rsid w:val="6FB93198"/>
    <w:rsid w:val="6FB972E6"/>
    <w:rsid w:val="6FE211DA"/>
    <w:rsid w:val="6FF665ED"/>
    <w:rsid w:val="6FFC4B52"/>
    <w:rsid w:val="70023148"/>
    <w:rsid w:val="70424C83"/>
    <w:rsid w:val="70595AC2"/>
    <w:rsid w:val="706B1804"/>
    <w:rsid w:val="707A1AB0"/>
    <w:rsid w:val="70E138DD"/>
    <w:rsid w:val="70F264C9"/>
    <w:rsid w:val="70FF1F48"/>
    <w:rsid w:val="712E63F7"/>
    <w:rsid w:val="71354BC5"/>
    <w:rsid w:val="71733CAC"/>
    <w:rsid w:val="718F01C5"/>
    <w:rsid w:val="71C37C78"/>
    <w:rsid w:val="71CD2232"/>
    <w:rsid w:val="71DB657E"/>
    <w:rsid w:val="71E96FEF"/>
    <w:rsid w:val="71F80EDE"/>
    <w:rsid w:val="71FC4033"/>
    <w:rsid w:val="72371B7E"/>
    <w:rsid w:val="7264752B"/>
    <w:rsid w:val="726772F0"/>
    <w:rsid w:val="72C02161"/>
    <w:rsid w:val="73170FF0"/>
    <w:rsid w:val="73392A15"/>
    <w:rsid w:val="73D632E2"/>
    <w:rsid w:val="73F16527"/>
    <w:rsid w:val="741A08A8"/>
    <w:rsid w:val="743A6234"/>
    <w:rsid w:val="745B4BED"/>
    <w:rsid w:val="74725AC4"/>
    <w:rsid w:val="74F160B9"/>
    <w:rsid w:val="75186E7D"/>
    <w:rsid w:val="753210C5"/>
    <w:rsid w:val="75330BC7"/>
    <w:rsid w:val="75461D6B"/>
    <w:rsid w:val="754F0480"/>
    <w:rsid w:val="756B1EF6"/>
    <w:rsid w:val="757442C8"/>
    <w:rsid w:val="758E5BD6"/>
    <w:rsid w:val="75A2506F"/>
    <w:rsid w:val="75C64E50"/>
    <w:rsid w:val="7651377E"/>
    <w:rsid w:val="767D0548"/>
    <w:rsid w:val="768C42EB"/>
    <w:rsid w:val="769D6D1E"/>
    <w:rsid w:val="76D10B78"/>
    <w:rsid w:val="775671B3"/>
    <w:rsid w:val="779F74F3"/>
    <w:rsid w:val="77A36B4B"/>
    <w:rsid w:val="77A72FA4"/>
    <w:rsid w:val="77AC183A"/>
    <w:rsid w:val="77AE1A33"/>
    <w:rsid w:val="77C03C2B"/>
    <w:rsid w:val="77D25D2E"/>
    <w:rsid w:val="77D71596"/>
    <w:rsid w:val="77EB27E6"/>
    <w:rsid w:val="77EF68E0"/>
    <w:rsid w:val="77F51B3B"/>
    <w:rsid w:val="783B1B25"/>
    <w:rsid w:val="78866B18"/>
    <w:rsid w:val="788A4EF8"/>
    <w:rsid w:val="78AD1200"/>
    <w:rsid w:val="78B74F24"/>
    <w:rsid w:val="78BE590F"/>
    <w:rsid w:val="79102392"/>
    <w:rsid w:val="79156D9C"/>
    <w:rsid w:val="791B1956"/>
    <w:rsid w:val="792241E0"/>
    <w:rsid w:val="7924080B"/>
    <w:rsid w:val="79647E2C"/>
    <w:rsid w:val="79701CA2"/>
    <w:rsid w:val="797D277A"/>
    <w:rsid w:val="7999473D"/>
    <w:rsid w:val="79BD432F"/>
    <w:rsid w:val="7A022D3D"/>
    <w:rsid w:val="7A1C1265"/>
    <w:rsid w:val="7A4F146B"/>
    <w:rsid w:val="7AB21E46"/>
    <w:rsid w:val="7AB91427"/>
    <w:rsid w:val="7AC24402"/>
    <w:rsid w:val="7ACD0A2E"/>
    <w:rsid w:val="7AD16F6A"/>
    <w:rsid w:val="7ADC6D15"/>
    <w:rsid w:val="7AE15157"/>
    <w:rsid w:val="7B0A1C83"/>
    <w:rsid w:val="7B233AD0"/>
    <w:rsid w:val="7B326F09"/>
    <w:rsid w:val="7B42766E"/>
    <w:rsid w:val="7B437CD4"/>
    <w:rsid w:val="7B510BDD"/>
    <w:rsid w:val="7BAB521A"/>
    <w:rsid w:val="7BF329B4"/>
    <w:rsid w:val="7C200750"/>
    <w:rsid w:val="7C23459C"/>
    <w:rsid w:val="7C3B7A97"/>
    <w:rsid w:val="7C3C6104"/>
    <w:rsid w:val="7C3F377F"/>
    <w:rsid w:val="7C4A0CC0"/>
    <w:rsid w:val="7C547AB4"/>
    <w:rsid w:val="7C89178E"/>
    <w:rsid w:val="7C8E1A6E"/>
    <w:rsid w:val="7C9D44EA"/>
    <w:rsid w:val="7CC61BD9"/>
    <w:rsid w:val="7D0B2807"/>
    <w:rsid w:val="7D521565"/>
    <w:rsid w:val="7D625E5A"/>
    <w:rsid w:val="7D6D37E4"/>
    <w:rsid w:val="7D723DB3"/>
    <w:rsid w:val="7D78283B"/>
    <w:rsid w:val="7D7E7CF1"/>
    <w:rsid w:val="7D82501B"/>
    <w:rsid w:val="7DA31BE4"/>
    <w:rsid w:val="7DA97531"/>
    <w:rsid w:val="7DF369FE"/>
    <w:rsid w:val="7E1F3C97"/>
    <w:rsid w:val="7E3C65F7"/>
    <w:rsid w:val="7E6478FC"/>
    <w:rsid w:val="7E767D04"/>
    <w:rsid w:val="7E7F2FD7"/>
    <w:rsid w:val="7EBE700C"/>
    <w:rsid w:val="7EE67708"/>
    <w:rsid w:val="7EF173E1"/>
    <w:rsid w:val="7F0864D9"/>
    <w:rsid w:val="7F1C3D32"/>
    <w:rsid w:val="7F491227"/>
    <w:rsid w:val="7F4E2311"/>
    <w:rsid w:val="7F9C1AD2"/>
    <w:rsid w:val="7FBB079E"/>
    <w:rsid w:val="7FD21D5F"/>
    <w:rsid w:val="7FF13BBE"/>
    <w:rsid w:val="7FF14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3">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footer"/>
    <w:basedOn w:val="1"/>
    <w:link w:val="15"/>
    <w:autoRedefine/>
    <w:semiHidden/>
    <w:unhideWhenUsed/>
    <w:qFormat/>
    <w:uiPriority w:val="99"/>
    <w:pPr>
      <w:tabs>
        <w:tab w:val="center" w:pos="4153"/>
        <w:tab w:val="right" w:pos="8306"/>
      </w:tabs>
    </w:pPr>
    <w:rPr>
      <w:sz w:val="18"/>
      <w:szCs w:val="18"/>
    </w:rPr>
  </w:style>
  <w:style w:type="paragraph" w:styleId="5">
    <w:name w:val="header"/>
    <w:basedOn w:val="1"/>
    <w:link w:val="14"/>
    <w:semiHidden/>
    <w:unhideWhenUsed/>
    <w:qFormat/>
    <w:uiPriority w:val="99"/>
    <w:pPr>
      <w:pBdr>
        <w:bottom w:val="single" w:color="auto" w:sz="6" w:space="1"/>
      </w:pBdr>
      <w:tabs>
        <w:tab w:val="center" w:pos="4153"/>
        <w:tab w:val="right" w:pos="8306"/>
      </w:tabs>
      <w:jc w:val="center"/>
    </w:pPr>
    <w:rPr>
      <w:sz w:val="18"/>
      <w:szCs w:val="18"/>
    </w:rPr>
  </w:style>
  <w:style w:type="paragraph" w:styleId="6">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9">
    <w:name w:val="Strong"/>
    <w:basedOn w:val="8"/>
    <w:qFormat/>
    <w:uiPriority w:val="22"/>
    <w:rPr>
      <w:b/>
    </w:rPr>
  </w:style>
  <w:style w:type="paragraph" w:customStyle="1" w:styleId="10">
    <w:name w:val="正文-公1"/>
    <w:basedOn w:val="11"/>
    <w:next w:val="1"/>
    <w:qFormat/>
    <w:uiPriority w:val="0"/>
    <w:pPr>
      <w:ind w:firstLine="200" w:firstLineChars="200"/>
    </w:pPr>
  </w:style>
  <w:style w:type="paragraph" w:customStyle="1" w:styleId="11">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
    <w:name w:val="BodyText1I2"/>
    <w:basedOn w:val="13"/>
    <w:qFormat/>
    <w:uiPriority w:val="0"/>
    <w:pPr>
      <w:ind w:firstLine="420"/>
    </w:pPr>
  </w:style>
  <w:style w:type="paragraph" w:customStyle="1" w:styleId="13">
    <w:name w:val="BodyTextIndent"/>
    <w:basedOn w:val="1"/>
    <w:qFormat/>
    <w:uiPriority w:val="0"/>
    <w:pPr>
      <w:spacing w:after="120"/>
      <w:ind w:left="420" w:leftChars="200" w:firstLine="200" w:firstLineChars="200"/>
      <w:textAlignment w:val="baseline"/>
    </w:pPr>
  </w:style>
  <w:style w:type="character" w:customStyle="1" w:styleId="14">
    <w:name w:val="页眉 Char"/>
    <w:basedOn w:val="8"/>
    <w:link w:val="5"/>
    <w:semiHidden/>
    <w:qFormat/>
    <w:uiPriority w:val="99"/>
    <w:rPr>
      <w:rFonts w:ascii="Tahoma" w:hAnsi="Tahoma"/>
      <w:sz w:val="18"/>
      <w:szCs w:val="18"/>
    </w:rPr>
  </w:style>
  <w:style w:type="character" w:customStyle="1" w:styleId="15">
    <w:name w:val="页脚 Char"/>
    <w:basedOn w:val="8"/>
    <w:link w:val="4"/>
    <w:semiHidden/>
    <w:qFormat/>
    <w:uiPriority w:val="99"/>
    <w:rPr>
      <w:rFonts w:ascii="Tahoma" w:hAnsi="Tahoma"/>
      <w:sz w:val="18"/>
      <w:szCs w:val="18"/>
    </w:rPr>
  </w:style>
  <w:style w:type="paragraph" w:styleId="16">
    <w:name w:val="List Paragraph"/>
    <w:basedOn w:val="1"/>
    <w:qFormat/>
    <w:uiPriority w:val="34"/>
    <w:pPr>
      <w:ind w:firstLine="420" w:firstLineChars="200"/>
    </w:pPr>
  </w:style>
  <w:style w:type="table" w:customStyle="1" w:styleId="17">
    <w:name w:val="Table Normal"/>
    <w:autoRedefine/>
    <w:semiHidden/>
    <w:unhideWhenUsed/>
    <w:qFormat/>
    <w:uiPriority w:val="0"/>
    <w:tblPr>
      <w:tblCellMar>
        <w:top w:w="0" w:type="dxa"/>
        <w:left w:w="0" w:type="dxa"/>
        <w:bottom w:w="0" w:type="dxa"/>
        <w:right w:w="0" w:type="dxa"/>
      </w:tblCellMar>
    </w:tblPr>
  </w:style>
  <w:style w:type="paragraph" w:customStyle="1" w:styleId="18">
    <w:name w:val="Table Text"/>
    <w:basedOn w:val="1"/>
    <w:autoRedefine/>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4308</Words>
  <Characters>4790</Characters>
  <Lines>18</Lines>
  <Paragraphs>5</Paragraphs>
  <TotalTime>18</TotalTime>
  <ScaleCrop>false</ScaleCrop>
  <LinksUpToDate>false</LinksUpToDate>
  <CharactersWithSpaces>4808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冷子菁</cp:lastModifiedBy>
  <cp:lastPrinted>2024-05-17T07:56:00Z</cp:lastPrinted>
  <dcterms:modified xsi:type="dcterms:W3CDTF">2025-05-26T03:19:37Z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37424B71D45E4149B9913087C514387F</vt:lpwstr>
  </property>
  <property fmtid="{D5CDD505-2E9C-101B-9397-08002B2CF9AE}" pid="4" name="KSOTemplateDocerSaveRecord">
    <vt:lpwstr>eyJoZGlkIjoiMWMwZGY4OTE1ODNhMDhlOWY4NjI4ZDljMjA5NTc0ZTgiLCJ1c2VySWQiOiIzMjY0Mjg0NDMifQ==</vt:lpwstr>
  </property>
</Properties>
</file>