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B0311">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8B5F0E0">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28B5F0E0">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16EBDC46">
      <w:pPr>
        <w:pStyle w:val="12"/>
        <w:jc w:val="center"/>
        <w:rPr>
          <w:sz w:val="56"/>
          <w:szCs w:val="56"/>
        </w:rPr>
      </w:pPr>
    </w:p>
    <w:p w14:paraId="1F12F64A">
      <w:pPr>
        <w:pStyle w:val="12"/>
        <w:jc w:val="center"/>
        <w:rPr>
          <w:sz w:val="84"/>
          <w:szCs w:val="84"/>
        </w:rPr>
      </w:pPr>
    </w:p>
    <w:p w14:paraId="5FD19FC0">
      <w:pPr>
        <w:pStyle w:val="12"/>
        <w:jc w:val="center"/>
        <w:rPr>
          <w:sz w:val="84"/>
          <w:szCs w:val="84"/>
        </w:rPr>
      </w:pPr>
    </w:p>
    <w:p w14:paraId="7B276295">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bookmarkStart w:id="3" w:name="_GoBack"/>
      <w:bookmarkEnd w:id="3"/>
      <w:r>
        <w:rPr>
          <w:rFonts w:hint="eastAsia" w:ascii="方正小标宋_GBK" w:hAnsi="方正小标宋_GBK" w:eastAsia="方正小标宋_GBK" w:cs="方正小标宋_GBK"/>
          <w:sz w:val="84"/>
          <w:szCs w:val="84"/>
        </w:rPr>
        <w:t>年度</w:t>
      </w:r>
    </w:p>
    <w:p w14:paraId="15F448D1">
      <w:pPr>
        <w:pStyle w:val="12"/>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沅江市工伤保险服务中心</w:t>
      </w:r>
    </w:p>
    <w:p w14:paraId="2D5DE588">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43EAB9EC">
      <w:pPr>
        <w:pStyle w:val="12"/>
        <w:jc w:val="center"/>
        <w:rPr>
          <w:rFonts w:hint="eastAsia" w:ascii="方正小标宋_GBK" w:hAnsi="方正小标宋_GBK" w:eastAsia="方正小标宋_GBK" w:cs="方正小标宋_GBK"/>
          <w:sz w:val="56"/>
          <w:szCs w:val="56"/>
        </w:rPr>
      </w:pPr>
    </w:p>
    <w:p w14:paraId="554E2D82">
      <w:pPr>
        <w:pStyle w:val="12"/>
        <w:jc w:val="center"/>
        <w:rPr>
          <w:sz w:val="56"/>
          <w:szCs w:val="56"/>
        </w:rPr>
      </w:pPr>
    </w:p>
    <w:p w14:paraId="7C09811F">
      <w:pPr>
        <w:pStyle w:val="12"/>
        <w:jc w:val="center"/>
        <w:rPr>
          <w:sz w:val="56"/>
          <w:szCs w:val="56"/>
        </w:rPr>
      </w:pPr>
    </w:p>
    <w:p w14:paraId="21242F68">
      <w:pPr>
        <w:pStyle w:val="12"/>
        <w:jc w:val="center"/>
        <w:rPr>
          <w:sz w:val="56"/>
          <w:szCs w:val="56"/>
        </w:rPr>
      </w:pPr>
    </w:p>
    <w:p w14:paraId="63897F0D">
      <w:pPr>
        <w:pStyle w:val="12"/>
        <w:jc w:val="center"/>
        <w:rPr>
          <w:sz w:val="32"/>
          <w:szCs w:val="32"/>
        </w:rPr>
      </w:pPr>
    </w:p>
    <w:p w14:paraId="73A6337C">
      <w:pPr>
        <w:pStyle w:val="12"/>
        <w:jc w:val="center"/>
        <w:rPr>
          <w:sz w:val="32"/>
          <w:szCs w:val="32"/>
        </w:rPr>
      </w:pPr>
    </w:p>
    <w:p w14:paraId="20FD5AB8">
      <w:pPr>
        <w:pStyle w:val="12"/>
        <w:jc w:val="center"/>
        <w:rPr>
          <w:sz w:val="32"/>
          <w:szCs w:val="32"/>
        </w:rPr>
      </w:pPr>
    </w:p>
    <w:p w14:paraId="2CEB61D3">
      <w:pPr>
        <w:pStyle w:val="12"/>
        <w:jc w:val="center"/>
        <w:rPr>
          <w:sz w:val="32"/>
          <w:szCs w:val="32"/>
        </w:rPr>
      </w:pPr>
    </w:p>
    <w:p w14:paraId="7CF26A3B">
      <w:pPr>
        <w:pStyle w:val="12"/>
        <w:jc w:val="center"/>
        <w:rPr>
          <w:sz w:val="32"/>
          <w:szCs w:val="32"/>
        </w:rPr>
      </w:pPr>
    </w:p>
    <w:p w14:paraId="488D72C7">
      <w:pPr>
        <w:pStyle w:val="12"/>
        <w:spacing w:line="540" w:lineRule="exact"/>
        <w:jc w:val="center"/>
        <w:rPr>
          <w:sz w:val="56"/>
          <w:szCs w:val="56"/>
        </w:rPr>
      </w:pPr>
    </w:p>
    <w:p w14:paraId="4385E267">
      <w:pPr>
        <w:pStyle w:val="12"/>
        <w:spacing w:line="500" w:lineRule="exact"/>
        <w:jc w:val="both"/>
        <w:rPr>
          <w:b/>
          <w:sz w:val="36"/>
          <w:szCs w:val="28"/>
        </w:rPr>
      </w:pPr>
    </w:p>
    <w:p w14:paraId="52EA1C8B">
      <w:pPr>
        <w:pStyle w:val="12"/>
        <w:spacing w:line="500" w:lineRule="exact"/>
        <w:jc w:val="center"/>
        <w:rPr>
          <w:b/>
          <w:sz w:val="36"/>
          <w:szCs w:val="28"/>
        </w:rPr>
      </w:pPr>
      <w:r>
        <w:rPr>
          <w:rFonts w:hint="eastAsia"/>
          <w:b/>
          <w:sz w:val="36"/>
          <w:szCs w:val="28"/>
        </w:rPr>
        <w:t>目录</w:t>
      </w:r>
    </w:p>
    <w:p w14:paraId="46C9E649">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沅江市工伤保险服务中心</w:t>
      </w:r>
      <w:r>
        <w:rPr>
          <w:rFonts w:hint="eastAsia" w:ascii="黑体" w:hAnsi="黑体" w:eastAsia="黑体" w:cs="黑体"/>
          <w:b w:val="0"/>
          <w:bCs/>
          <w:sz w:val="28"/>
          <w:szCs w:val="28"/>
        </w:rPr>
        <w:t>概况</w:t>
      </w:r>
    </w:p>
    <w:p w14:paraId="3382323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F89BC1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05EF403C">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2FFA30D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6DD1C1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5CA9F2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FC5B73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29DF0E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0E2B38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13D723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D640A3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525263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D8848A1">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1905125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0460E5A">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A16392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C4C02F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2FE66A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7007C8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296295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BFC037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489EADC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163987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54F7C8D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096A982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7046A9C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2EDA7872">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4E5E2EA">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691E7898">
      <w:pPr>
        <w:pStyle w:val="12"/>
        <w:spacing w:line="500" w:lineRule="exact"/>
        <w:rPr>
          <w:rFonts w:hint="eastAsia" w:ascii="黑体" w:hAnsi="黑体" w:eastAsia="黑体" w:cs="黑体"/>
          <w:b w:val="0"/>
          <w:bCs/>
          <w:sz w:val="28"/>
          <w:szCs w:val="28"/>
        </w:rPr>
      </w:pPr>
    </w:p>
    <w:p w14:paraId="39C21733">
      <w:pPr>
        <w:jc w:val="center"/>
        <w:rPr>
          <w:sz w:val="72"/>
          <w:szCs w:val="72"/>
        </w:rPr>
      </w:pPr>
    </w:p>
    <w:p w14:paraId="426744C7">
      <w:pPr>
        <w:jc w:val="center"/>
        <w:rPr>
          <w:sz w:val="72"/>
          <w:szCs w:val="72"/>
        </w:rPr>
      </w:pPr>
    </w:p>
    <w:p w14:paraId="523420C5">
      <w:pPr>
        <w:jc w:val="center"/>
        <w:rPr>
          <w:sz w:val="72"/>
          <w:szCs w:val="72"/>
        </w:rPr>
      </w:pPr>
    </w:p>
    <w:p w14:paraId="4D8BD99F">
      <w:pPr>
        <w:jc w:val="center"/>
        <w:rPr>
          <w:sz w:val="72"/>
          <w:szCs w:val="72"/>
        </w:rPr>
      </w:pPr>
    </w:p>
    <w:p w14:paraId="049DD064">
      <w:pPr>
        <w:rPr>
          <w:rFonts w:hint="eastAsia" w:ascii="方正小标宋_GBK" w:hAnsi="方正小标宋_GBK" w:eastAsia="方正小标宋_GBK" w:cs="方正小标宋_GBK"/>
          <w:sz w:val="72"/>
          <w:szCs w:val="72"/>
        </w:rPr>
      </w:pPr>
    </w:p>
    <w:p w14:paraId="4F1F10F6">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85C4CB0">
      <w:pPr>
        <w:pStyle w:val="12"/>
        <w:jc w:val="center"/>
        <w:rPr>
          <w:rFonts w:hint="eastAsia" w:ascii="方正小标宋_GBK" w:hAnsi="方正小标宋_GBK" w:eastAsia="方正小标宋_GBK" w:cs="方正小标宋_GBK"/>
          <w:sz w:val="84"/>
          <w:szCs w:val="84"/>
        </w:rPr>
      </w:pPr>
    </w:p>
    <w:p w14:paraId="3520DEAF">
      <w:pPr>
        <w:pStyle w:val="12"/>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沅江市工伤保险服务中心</w:t>
      </w:r>
    </w:p>
    <w:p w14:paraId="55284E68">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42A90CEF">
      <w:pPr>
        <w:jc w:val="center"/>
        <w:rPr>
          <w:rFonts w:hint="eastAsia" w:ascii="方正小标宋_GBK" w:hAnsi="方正小标宋_GBK" w:eastAsia="方正小标宋_GBK" w:cs="方正小标宋_GBK"/>
          <w:sz w:val="72"/>
          <w:szCs w:val="72"/>
        </w:rPr>
      </w:pPr>
    </w:p>
    <w:p w14:paraId="765F62C0">
      <w:pPr>
        <w:jc w:val="center"/>
        <w:rPr>
          <w:rFonts w:hint="eastAsia" w:ascii="方正小标宋_GBK" w:hAnsi="方正小标宋_GBK" w:eastAsia="方正小标宋_GBK" w:cs="方正小标宋_GBK"/>
          <w:sz w:val="72"/>
          <w:szCs w:val="72"/>
        </w:rPr>
      </w:pPr>
    </w:p>
    <w:p w14:paraId="514ACD86">
      <w:pPr>
        <w:jc w:val="center"/>
        <w:rPr>
          <w:sz w:val="72"/>
          <w:szCs w:val="72"/>
        </w:rPr>
      </w:pPr>
    </w:p>
    <w:p w14:paraId="0A203E1B">
      <w:pPr>
        <w:jc w:val="center"/>
        <w:rPr>
          <w:sz w:val="72"/>
          <w:szCs w:val="72"/>
        </w:rPr>
      </w:pPr>
    </w:p>
    <w:p w14:paraId="505C620B">
      <w:pPr>
        <w:jc w:val="center"/>
        <w:rPr>
          <w:sz w:val="72"/>
          <w:szCs w:val="72"/>
        </w:rPr>
      </w:pPr>
    </w:p>
    <w:p w14:paraId="31A7C5F5">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235FF648">
      <w:pPr>
        <w:ind w:firstLine="800" w:firstLineChars="25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sz w:val="32"/>
          <w:szCs w:val="32"/>
          <w:lang w:eastAsia="zh-CN"/>
        </w:rPr>
        <w:t>沅江市工伤保险服务中心负责全市企业和机关事业单位的工伤保险参保征缴以及工伤待遇的拨付。</w:t>
      </w:r>
    </w:p>
    <w:p w14:paraId="2B31057D">
      <w:pPr>
        <w:ind w:firstLine="800" w:firstLineChars="25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（二）</w:t>
      </w:r>
      <w:r>
        <w:rPr>
          <w:rFonts w:hint="eastAsia" w:ascii="Times New Roman" w:hAnsi="Times New Roman" w:eastAsia="仿宋_GB2312" w:cs="仿宋_GB2312"/>
          <w:sz w:val="32"/>
          <w:szCs w:val="32"/>
          <w:lang w:eastAsia="zh-CN"/>
        </w:rPr>
        <w:t>沅江市工伤保险服务中心内设办公室、征缴股、待遇审核股、稽查稽核股、财务室。</w:t>
      </w:r>
    </w:p>
    <w:p w14:paraId="28B3837E">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41F2EFC5">
      <w:pPr>
        <w:widowControl/>
        <w:spacing w:line="600" w:lineRule="exact"/>
        <w:rPr>
          <w:rFonts w:hint="default"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 xml:space="preserve">   沅江市工伤保险服务中心只有本级，没有其他决算单位，因此部门决算仅含本级决算。</w:t>
      </w:r>
    </w:p>
    <w:p w14:paraId="522B116B">
      <w:pPr>
        <w:jc w:val="left"/>
        <w:rPr>
          <w:rFonts w:ascii="仿宋_GB2312" w:eastAsia="仿宋_GB2312" w:hAnsiTheme="minorEastAsia"/>
          <w:sz w:val="28"/>
          <w:szCs w:val="32"/>
        </w:rPr>
      </w:pPr>
    </w:p>
    <w:p w14:paraId="080F1298">
      <w:pPr>
        <w:jc w:val="center"/>
        <w:rPr>
          <w:rFonts w:ascii="黑体" w:hAnsi="黑体" w:eastAsia="黑体"/>
          <w:sz w:val="28"/>
          <w:szCs w:val="28"/>
        </w:rPr>
      </w:pPr>
    </w:p>
    <w:p w14:paraId="1B5DC0D2">
      <w:pPr>
        <w:jc w:val="center"/>
        <w:rPr>
          <w:rFonts w:ascii="黑体" w:hAnsi="黑体" w:eastAsia="黑体"/>
          <w:sz w:val="28"/>
          <w:szCs w:val="28"/>
        </w:rPr>
      </w:pPr>
    </w:p>
    <w:p w14:paraId="5B9E9A2A">
      <w:pPr>
        <w:jc w:val="center"/>
        <w:rPr>
          <w:rFonts w:ascii="黑体" w:hAnsi="黑体" w:eastAsia="黑体"/>
          <w:sz w:val="28"/>
          <w:szCs w:val="28"/>
        </w:rPr>
      </w:pPr>
    </w:p>
    <w:p w14:paraId="09058704">
      <w:pPr>
        <w:jc w:val="center"/>
        <w:rPr>
          <w:rFonts w:ascii="黑体" w:hAnsi="黑体" w:eastAsia="黑体"/>
          <w:sz w:val="28"/>
          <w:szCs w:val="28"/>
        </w:rPr>
      </w:pPr>
    </w:p>
    <w:p w14:paraId="2215D068">
      <w:pPr>
        <w:jc w:val="center"/>
        <w:rPr>
          <w:rFonts w:ascii="黑体" w:hAnsi="黑体" w:eastAsia="黑体"/>
          <w:sz w:val="28"/>
          <w:szCs w:val="28"/>
        </w:rPr>
      </w:pPr>
    </w:p>
    <w:p w14:paraId="562157B0">
      <w:pPr>
        <w:jc w:val="center"/>
        <w:rPr>
          <w:rFonts w:ascii="黑体" w:hAnsi="黑体" w:eastAsia="黑体"/>
          <w:sz w:val="28"/>
          <w:szCs w:val="28"/>
        </w:rPr>
      </w:pPr>
    </w:p>
    <w:p w14:paraId="5C882263">
      <w:pPr>
        <w:jc w:val="center"/>
        <w:rPr>
          <w:rFonts w:ascii="黑体" w:hAnsi="黑体" w:eastAsia="黑体"/>
          <w:sz w:val="28"/>
          <w:szCs w:val="28"/>
        </w:rPr>
      </w:pPr>
    </w:p>
    <w:p w14:paraId="192CEF65">
      <w:pPr>
        <w:jc w:val="center"/>
        <w:rPr>
          <w:rFonts w:ascii="黑体" w:hAnsi="黑体" w:eastAsia="黑体"/>
          <w:sz w:val="28"/>
          <w:szCs w:val="28"/>
        </w:rPr>
      </w:pPr>
    </w:p>
    <w:p w14:paraId="4408A68A">
      <w:pPr>
        <w:jc w:val="center"/>
        <w:rPr>
          <w:rFonts w:ascii="黑体" w:hAnsi="黑体" w:eastAsia="黑体"/>
          <w:sz w:val="28"/>
          <w:szCs w:val="28"/>
        </w:rPr>
      </w:pPr>
    </w:p>
    <w:p w14:paraId="140A059B">
      <w:pPr>
        <w:jc w:val="center"/>
        <w:rPr>
          <w:rFonts w:ascii="黑体" w:hAnsi="黑体" w:eastAsia="黑体"/>
          <w:sz w:val="28"/>
          <w:szCs w:val="28"/>
        </w:rPr>
      </w:pPr>
    </w:p>
    <w:p w14:paraId="3EB01D3A">
      <w:pPr>
        <w:jc w:val="center"/>
        <w:rPr>
          <w:rFonts w:ascii="黑体" w:hAnsi="黑体" w:eastAsia="黑体"/>
          <w:sz w:val="28"/>
          <w:szCs w:val="28"/>
        </w:rPr>
      </w:pPr>
    </w:p>
    <w:p w14:paraId="243BE188">
      <w:pPr>
        <w:jc w:val="center"/>
        <w:rPr>
          <w:rFonts w:ascii="黑体" w:hAnsi="黑体" w:eastAsia="黑体"/>
          <w:sz w:val="28"/>
          <w:szCs w:val="28"/>
        </w:rPr>
      </w:pPr>
    </w:p>
    <w:p w14:paraId="2BB4C929">
      <w:pPr>
        <w:jc w:val="center"/>
        <w:rPr>
          <w:sz w:val="72"/>
          <w:szCs w:val="72"/>
        </w:rPr>
      </w:pPr>
    </w:p>
    <w:p w14:paraId="170C5758">
      <w:pPr>
        <w:jc w:val="center"/>
        <w:rPr>
          <w:sz w:val="72"/>
          <w:szCs w:val="72"/>
        </w:rPr>
      </w:pPr>
    </w:p>
    <w:p w14:paraId="7AC160FE">
      <w:pPr>
        <w:jc w:val="center"/>
        <w:rPr>
          <w:sz w:val="72"/>
          <w:szCs w:val="72"/>
        </w:rPr>
      </w:pPr>
    </w:p>
    <w:p w14:paraId="1A2B7459">
      <w:pPr>
        <w:jc w:val="center"/>
        <w:rPr>
          <w:sz w:val="72"/>
          <w:szCs w:val="72"/>
        </w:rPr>
      </w:pPr>
    </w:p>
    <w:p w14:paraId="6B90863B">
      <w:pPr>
        <w:pStyle w:val="12"/>
        <w:jc w:val="center"/>
        <w:rPr>
          <w:rFonts w:hint="eastAsia" w:ascii="方正小标宋_GBK" w:hAnsi="方正小标宋_GBK" w:eastAsia="方正小标宋_GBK" w:cs="方正小标宋_GBK"/>
          <w:sz w:val="84"/>
          <w:szCs w:val="84"/>
        </w:rPr>
      </w:pPr>
    </w:p>
    <w:p w14:paraId="2668A53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9A9D7B6">
      <w:pPr>
        <w:pStyle w:val="12"/>
        <w:jc w:val="center"/>
        <w:rPr>
          <w:rFonts w:hint="eastAsia" w:ascii="方正小标宋_GBK" w:hAnsi="方正小标宋_GBK" w:eastAsia="方正小标宋_GBK" w:cs="方正小标宋_GBK"/>
          <w:sz w:val="84"/>
          <w:szCs w:val="84"/>
        </w:rPr>
      </w:pPr>
    </w:p>
    <w:p w14:paraId="24833EE1">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16ADFA35">
      <w:pPr>
        <w:jc w:val="center"/>
        <w:rPr>
          <w:sz w:val="72"/>
          <w:szCs w:val="72"/>
        </w:rPr>
      </w:pPr>
    </w:p>
    <w:p w14:paraId="0C23BEBF">
      <w:pPr>
        <w:jc w:val="center"/>
        <w:rPr>
          <w:sz w:val="72"/>
          <w:szCs w:val="72"/>
        </w:rPr>
      </w:pPr>
    </w:p>
    <w:p w14:paraId="000AC2AB">
      <w:pPr>
        <w:jc w:val="center"/>
        <w:rPr>
          <w:sz w:val="72"/>
          <w:szCs w:val="72"/>
        </w:rPr>
      </w:pPr>
    </w:p>
    <w:p w14:paraId="504B557B">
      <w:pPr>
        <w:jc w:val="center"/>
        <w:rPr>
          <w:sz w:val="72"/>
          <w:szCs w:val="72"/>
        </w:rPr>
      </w:pPr>
    </w:p>
    <w:p w14:paraId="708FE07C">
      <w:pPr>
        <w:jc w:val="center"/>
        <w:rPr>
          <w:sz w:val="72"/>
          <w:szCs w:val="72"/>
        </w:rPr>
      </w:pPr>
    </w:p>
    <w:p w14:paraId="31975888">
      <w:pPr>
        <w:jc w:val="center"/>
        <w:rPr>
          <w:sz w:val="72"/>
          <w:szCs w:val="72"/>
        </w:rPr>
      </w:pPr>
    </w:p>
    <w:p w14:paraId="60480ED6">
      <w:pPr>
        <w:jc w:val="left"/>
        <w:rPr>
          <w:sz w:val="32"/>
          <w:szCs w:val="32"/>
        </w:rPr>
      </w:pPr>
    </w:p>
    <w:p w14:paraId="4480C34E">
      <w:pPr>
        <w:jc w:val="left"/>
        <w:rPr>
          <w:rFonts w:asciiTheme="minorEastAsia" w:hAnsiTheme="minorEastAsia"/>
          <w:sz w:val="32"/>
          <w:szCs w:val="32"/>
        </w:rPr>
        <w:sectPr>
          <w:headerReference r:id="rId3" w:type="default"/>
          <w:footerReference r:id="rId4" w:type="default"/>
          <w:pgSz w:w="11906" w:h="16838"/>
          <w:pgMar w:top="720" w:right="720" w:bottom="720" w:left="720" w:header="851" w:footer="992" w:gutter="0"/>
          <w:cols w:space="425" w:num="1"/>
          <w:docGrid w:type="lines" w:linePitch="312" w:charSpace="0"/>
        </w:sectPr>
      </w:pPr>
    </w:p>
    <w:tbl>
      <w:tblPr>
        <w:tblStyle w:val="8"/>
        <w:tblW w:w="13900" w:type="dxa"/>
        <w:tblInd w:w="0" w:type="dxa"/>
        <w:tblLayout w:type="autofit"/>
        <w:tblCellMar>
          <w:top w:w="0" w:type="dxa"/>
          <w:left w:w="0" w:type="dxa"/>
          <w:bottom w:w="0" w:type="dxa"/>
          <w:right w:w="0" w:type="dxa"/>
        </w:tblCellMar>
      </w:tblPr>
      <w:tblGrid>
        <w:gridCol w:w="438"/>
        <w:gridCol w:w="380"/>
        <w:gridCol w:w="3341"/>
        <w:gridCol w:w="1977"/>
        <w:gridCol w:w="2011"/>
        <w:gridCol w:w="1343"/>
        <w:gridCol w:w="1343"/>
        <w:gridCol w:w="1343"/>
        <w:gridCol w:w="1344"/>
        <w:gridCol w:w="1908"/>
      </w:tblGrid>
      <w:tr w14:paraId="14F243DB">
        <w:tblPrEx>
          <w:tblCellMar>
            <w:top w:w="0" w:type="dxa"/>
            <w:left w:w="0" w:type="dxa"/>
            <w:bottom w:w="0" w:type="dxa"/>
            <w:right w:w="0" w:type="dxa"/>
          </w:tblCellMar>
        </w:tblPrEx>
        <w:trPr>
          <w:trHeight w:val="435" w:hRule="atLeast"/>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2"/>
              <w:gridCol w:w="603"/>
              <w:gridCol w:w="1399"/>
              <w:gridCol w:w="5033"/>
              <w:gridCol w:w="1165"/>
              <w:gridCol w:w="456"/>
              <w:gridCol w:w="456"/>
              <w:gridCol w:w="1844"/>
            </w:tblGrid>
            <w:tr w14:paraId="7616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1C6E6718">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0CE8E7FB">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51F0674B">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106D1C65">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2B92F693">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21E1CBC5">
                  <w:pPr>
                    <w:jc w:val="right"/>
                    <w:rPr>
                      <w:rFonts w:hint="eastAsia" w:ascii="黑体" w:hAnsi="宋体" w:eastAsia="黑体" w:cs="黑体"/>
                      <w:i w:val="0"/>
                      <w:color w:val="000000"/>
                      <w:sz w:val="24"/>
                      <w:szCs w:val="24"/>
                      <w:u w:val="none"/>
                    </w:rPr>
                  </w:pPr>
                </w:p>
              </w:tc>
            </w:tr>
            <w:tr w14:paraId="4D7E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0" w:type="auto"/>
                  <w:gridSpan w:val="8"/>
                  <w:tcBorders>
                    <w:top w:val="nil"/>
                    <w:left w:val="nil"/>
                    <w:bottom w:val="nil"/>
                    <w:right w:val="nil"/>
                  </w:tcBorders>
                  <w:shd w:val="clear" w:color="auto" w:fill="auto"/>
                  <w:noWrap/>
                  <w:vAlign w:val="center"/>
                </w:tcPr>
                <w:p w14:paraId="7F9810C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6A5B9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1B21E6BB">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3F13B83D">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6C2A3A66">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7615F65C">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075A3A97">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48BDCEB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73927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4E1897C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部门：沅江市没工伤保险服务中心</w:t>
                  </w:r>
                </w:p>
              </w:tc>
              <w:tc>
                <w:tcPr>
                  <w:tcW w:w="0" w:type="auto"/>
                  <w:tcBorders>
                    <w:top w:val="nil"/>
                    <w:left w:val="nil"/>
                    <w:bottom w:val="nil"/>
                    <w:right w:val="nil"/>
                  </w:tcBorders>
                  <w:shd w:val="clear" w:color="auto" w:fill="FFFFFF"/>
                  <w:noWrap/>
                  <w:vAlign w:val="center"/>
                </w:tcPr>
                <w:p w14:paraId="7DAD9601">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25DC5C72">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11575F24">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5B9B6DAD">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4EB55F1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C9A3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293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362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0958B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BCF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6E1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41C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CEB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1F7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00A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6E1D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9F6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D2590">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F99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851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87CE8">
                  <w:pPr>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464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02423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75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C95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2F63">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115.91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159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B2B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B2A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115.91</w:t>
                  </w:r>
                </w:p>
              </w:tc>
            </w:tr>
            <w:tr w14:paraId="1B5A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D04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B25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1EDE">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42A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046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FBA7">
                  <w:pPr>
                    <w:jc w:val="right"/>
                    <w:rPr>
                      <w:rFonts w:hint="eastAsia" w:ascii="宋体" w:hAnsi="宋体" w:eastAsia="宋体" w:cs="宋体"/>
                      <w:i w:val="0"/>
                      <w:color w:val="000000"/>
                      <w:sz w:val="22"/>
                      <w:szCs w:val="22"/>
                      <w:u w:val="none"/>
                    </w:rPr>
                  </w:pPr>
                </w:p>
              </w:tc>
            </w:tr>
            <w:tr w14:paraId="3329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B7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F79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3C42">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D6F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539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5235">
                  <w:pPr>
                    <w:jc w:val="right"/>
                    <w:rPr>
                      <w:rFonts w:hint="eastAsia" w:ascii="宋体" w:hAnsi="宋体" w:eastAsia="宋体" w:cs="宋体"/>
                      <w:i w:val="0"/>
                      <w:color w:val="000000"/>
                      <w:sz w:val="22"/>
                      <w:szCs w:val="22"/>
                      <w:u w:val="none"/>
                    </w:rPr>
                  </w:pPr>
                </w:p>
              </w:tc>
            </w:tr>
            <w:tr w14:paraId="2D27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815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070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CB8A">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B31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9E2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661B">
                  <w:pPr>
                    <w:jc w:val="right"/>
                    <w:rPr>
                      <w:rFonts w:hint="eastAsia" w:ascii="宋体" w:hAnsi="宋体" w:eastAsia="宋体" w:cs="宋体"/>
                      <w:i w:val="0"/>
                      <w:color w:val="000000"/>
                      <w:sz w:val="22"/>
                      <w:szCs w:val="22"/>
                      <w:u w:val="none"/>
                    </w:rPr>
                  </w:pPr>
                </w:p>
              </w:tc>
            </w:tr>
            <w:tr w14:paraId="5616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707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0C7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A581">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F16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F58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A4A0">
                  <w:pPr>
                    <w:jc w:val="right"/>
                    <w:rPr>
                      <w:rFonts w:hint="eastAsia" w:ascii="宋体" w:hAnsi="宋体" w:eastAsia="宋体" w:cs="宋体"/>
                      <w:i w:val="0"/>
                      <w:color w:val="000000"/>
                      <w:sz w:val="22"/>
                      <w:szCs w:val="22"/>
                      <w:u w:val="none"/>
                    </w:rPr>
                  </w:pPr>
                </w:p>
              </w:tc>
            </w:tr>
            <w:tr w14:paraId="7B1EC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C90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2BE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F56D">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1F6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E57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374F">
                  <w:pPr>
                    <w:jc w:val="right"/>
                    <w:rPr>
                      <w:rFonts w:hint="eastAsia" w:ascii="宋体" w:hAnsi="宋体" w:eastAsia="宋体" w:cs="宋体"/>
                      <w:i w:val="0"/>
                      <w:color w:val="000000"/>
                      <w:sz w:val="22"/>
                      <w:szCs w:val="22"/>
                      <w:u w:val="none"/>
                    </w:rPr>
                  </w:pPr>
                </w:p>
              </w:tc>
            </w:tr>
            <w:tr w14:paraId="6016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EED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9EB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A3BC">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C3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A87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F7BF">
                  <w:pPr>
                    <w:jc w:val="right"/>
                    <w:rPr>
                      <w:rFonts w:hint="eastAsia" w:ascii="宋体" w:hAnsi="宋体" w:eastAsia="宋体" w:cs="宋体"/>
                      <w:i w:val="0"/>
                      <w:color w:val="000000"/>
                      <w:sz w:val="22"/>
                      <w:szCs w:val="22"/>
                      <w:u w:val="none"/>
                    </w:rPr>
                  </w:pPr>
                </w:p>
              </w:tc>
            </w:tr>
            <w:tr w14:paraId="1AC0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596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C73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C231">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C3C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467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4F7D">
                  <w:pPr>
                    <w:jc w:val="center"/>
                    <w:rPr>
                      <w:rFonts w:hint="eastAsia" w:ascii="宋体" w:hAnsi="宋体" w:eastAsia="宋体" w:cs="宋体"/>
                      <w:i w:val="0"/>
                      <w:color w:val="000000"/>
                      <w:sz w:val="22"/>
                      <w:szCs w:val="22"/>
                      <w:u w:val="none"/>
                    </w:rPr>
                  </w:pPr>
                </w:p>
              </w:tc>
            </w:tr>
            <w:tr w14:paraId="412E7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A2D0">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38D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F5A9">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F1F7">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ACD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EF92">
                  <w:pPr>
                    <w:rPr>
                      <w:rFonts w:hint="eastAsia" w:ascii="宋体" w:hAnsi="宋体" w:eastAsia="宋体" w:cs="宋体"/>
                      <w:b/>
                      <w:i w:val="0"/>
                      <w:color w:val="000000"/>
                      <w:sz w:val="22"/>
                      <w:szCs w:val="22"/>
                      <w:u w:val="none"/>
                    </w:rPr>
                  </w:pPr>
                </w:p>
              </w:tc>
            </w:tr>
            <w:tr w14:paraId="19B9D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BF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F5C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9D7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0C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F14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3723">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115.91</w:t>
                  </w:r>
                </w:p>
              </w:tc>
            </w:tr>
            <w:tr w14:paraId="15E1C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39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945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0970">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C4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663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E6B2">
                  <w:pPr>
                    <w:rPr>
                      <w:rFonts w:hint="eastAsia" w:ascii="宋体" w:hAnsi="宋体" w:eastAsia="宋体" w:cs="宋体"/>
                      <w:i w:val="0"/>
                      <w:color w:val="000000"/>
                      <w:sz w:val="22"/>
                      <w:szCs w:val="22"/>
                      <w:u w:val="none"/>
                    </w:rPr>
                  </w:pPr>
                </w:p>
              </w:tc>
            </w:tr>
            <w:tr w14:paraId="49D2D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83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0E6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8357">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CA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7C8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B870">
                  <w:pPr>
                    <w:rPr>
                      <w:rFonts w:hint="eastAsia" w:ascii="宋体" w:hAnsi="宋体" w:eastAsia="宋体" w:cs="宋体"/>
                      <w:i w:val="0"/>
                      <w:color w:val="000000"/>
                      <w:sz w:val="22"/>
                      <w:szCs w:val="22"/>
                      <w:u w:val="none"/>
                    </w:rPr>
                  </w:pPr>
                </w:p>
              </w:tc>
            </w:tr>
            <w:tr w14:paraId="0B0F5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BD6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BD8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AA7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115.91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97B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3F2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9CF0">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115.91</w:t>
                  </w:r>
                </w:p>
              </w:tc>
            </w:tr>
            <w:tr w14:paraId="22F1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2860AFE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71F63339">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133DD015">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D7C0048">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AB12107">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BBCFFAD">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7246E3E">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C71D2C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3E2933D">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35D6FE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0443D1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F08396D">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8D24C45">
            <w:pPr>
              <w:jc w:val="right"/>
              <w:rPr>
                <w:rFonts w:ascii="宋体" w:hAnsi="宋体" w:eastAsia="宋体" w:cs="宋体"/>
                <w:color w:val="000000"/>
                <w:sz w:val="20"/>
                <w:szCs w:val="20"/>
              </w:rPr>
            </w:pPr>
            <w:r>
              <w:rPr>
                <w:rFonts w:hint="eastAsia"/>
                <w:color w:val="000000"/>
                <w:sz w:val="20"/>
                <w:szCs w:val="20"/>
              </w:rPr>
              <w:t>公开02表</w:t>
            </w:r>
          </w:p>
        </w:tc>
      </w:tr>
      <w:tr w14:paraId="35F9CEF9">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517CE922">
            <w:pPr>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C1F7B77">
            <w:pPr>
              <w:jc w:val="right"/>
              <w:rPr>
                <w:rFonts w:ascii="宋体" w:hAnsi="宋体" w:eastAsia="宋体" w:cs="宋体"/>
                <w:sz w:val="24"/>
                <w:szCs w:val="24"/>
              </w:rPr>
            </w:pPr>
            <w:r>
              <w:rPr>
                <w:rFonts w:hint="eastAsia"/>
                <w:lang w:eastAsia="zh-CN"/>
              </w:rPr>
              <w:t>沅江市工伤保险服务中心</w:t>
            </w: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A3E287E">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47069A8">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6D5BBB9">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E630380">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3D01AE7">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3C0538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F0D8EEB">
            <w:pPr>
              <w:jc w:val="right"/>
              <w:rPr>
                <w:rFonts w:ascii="宋体" w:hAnsi="宋体" w:eastAsia="宋体" w:cs="宋体"/>
                <w:color w:val="000000"/>
                <w:sz w:val="20"/>
                <w:szCs w:val="20"/>
              </w:rPr>
            </w:pPr>
            <w:r>
              <w:rPr>
                <w:rFonts w:hint="eastAsia"/>
                <w:color w:val="000000"/>
                <w:sz w:val="20"/>
                <w:szCs w:val="20"/>
              </w:rPr>
              <w:t>单位：万元</w:t>
            </w:r>
          </w:p>
        </w:tc>
      </w:tr>
      <w:tr w14:paraId="660294FA">
        <w:tblPrEx>
          <w:tblCellMar>
            <w:top w:w="0" w:type="dxa"/>
            <w:left w:w="0" w:type="dxa"/>
            <w:bottom w:w="0" w:type="dxa"/>
            <w:right w:w="0" w:type="dxa"/>
          </w:tblCellMar>
        </w:tblPrEx>
        <w:trPr>
          <w:trHeight w:val="450" w:hRule="atLeast"/>
        </w:trPr>
        <w:tc>
          <w:tcPr>
            <w:tcW w:w="242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6A1379">
            <w:pPr>
              <w:jc w:val="center"/>
              <w:rPr>
                <w:rFonts w:ascii="宋体" w:hAnsi="宋体" w:eastAsia="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3683C20">
            <w:pPr>
              <w:jc w:val="center"/>
              <w:rPr>
                <w:rFonts w:ascii="宋体" w:hAnsi="宋体" w:eastAsia="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161195">
            <w:pPr>
              <w:jc w:val="center"/>
              <w:rPr>
                <w:rFonts w:ascii="宋体" w:hAnsi="宋体" w:eastAsia="宋体" w:cs="宋体"/>
                <w:sz w:val="24"/>
                <w:szCs w:val="24"/>
              </w:rPr>
            </w:pPr>
            <w:r>
              <w:rPr>
                <w:rFonts w:hint="eastAsia"/>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70B73F">
            <w:pPr>
              <w:jc w:val="center"/>
              <w:rPr>
                <w:rFonts w:ascii="宋体" w:hAnsi="宋体" w:eastAsia="宋体" w:cs="宋体"/>
                <w:sz w:val="24"/>
                <w:szCs w:val="24"/>
              </w:rPr>
            </w:pPr>
            <w:r>
              <w:rPr>
                <w:rFonts w:hint="eastAsia"/>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782220">
            <w:pPr>
              <w:jc w:val="center"/>
              <w:rPr>
                <w:rFonts w:ascii="宋体" w:hAnsi="宋体" w:eastAsia="宋体" w:cs="宋体"/>
                <w:sz w:val="24"/>
                <w:szCs w:val="24"/>
              </w:rPr>
            </w:pPr>
            <w:r>
              <w:rPr>
                <w:rFonts w:hint="eastAsia"/>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EAF8E1">
            <w:pPr>
              <w:jc w:val="center"/>
              <w:rPr>
                <w:rFonts w:ascii="宋体" w:hAnsi="宋体" w:eastAsia="宋体" w:cs="宋体"/>
                <w:sz w:val="24"/>
                <w:szCs w:val="24"/>
              </w:rPr>
            </w:pPr>
            <w:r>
              <w:rPr>
                <w:rFonts w:hint="eastAsia"/>
              </w:rPr>
              <w:t>经营收入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BA933A">
            <w:pPr>
              <w:jc w:val="center"/>
              <w:rPr>
                <w:rFonts w:ascii="宋体" w:hAnsi="宋体" w:eastAsia="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00F93B">
            <w:pPr>
              <w:jc w:val="center"/>
              <w:rPr>
                <w:rFonts w:ascii="宋体" w:hAnsi="宋体" w:eastAsia="宋体" w:cs="宋体"/>
                <w:sz w:val="24"/>
                <w:szCs w:val="24"/>
              </w:rPr>
            </w:pPr>
            <w:r>
              <w:rPr>
                <w:rFonts w:hint="eastAsia"/>
              </w:rPr>
              <w:t>其他收入</w:t>
            </w:r>
          </w:p>
        </w:tc>
      </w:tr>
      <w:tr w14:paraId="78046674">
        <w:tblPrEx>
          <w:tblCellMar>
            <w:top w:w="0" w:type="dxa"/>
            <w:left w:w="0" w:type="dxa"/>
            <w:bottom w:w="0" w:type="dxa"/>
            <w:right w:w="0" w:type="dxa"/>
          </w:tblCellMar>
        </w:tblPrEx>
        <w:trPr>
          <w:trHeight w:val="450" w:hRule="atLeast"/>
        </w:trPr>
        <w:tc>
          <w:tcPr>
            <w:tcW w:w="112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3696C1B">
            <w:pPr>
              <w:jc w:val="center"/>
              <w:rPr>
                <w:rFonts w:ascii="宋体" w:hAnsi="宋体" w:eastAsia="宋体" w:cs="宋体"/>
                <w:sz w:val="24"/>
                <w:szCs w:val="24"/>
              </w:rPr>
            </w:pPr>
            <w:r>
              <w:rPr>
                <w:rFonts w:hint="eastAsia"/>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AD715D">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3415712">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44A755F">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94EB7F3">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E491B06">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8CFDF4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21CF82C">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5A9B7CE">
            <w:pPr>
              <w:rPr>
                <w:rFonts w:ascii="宋体" w:hAnsi="宋体" w:eastAsia="宋体" w:cs="宋体"/>
                <w:sz w:val="24"/>
                <w:szCs w:val="24"/>
              </w:rPr>
            </w:pPr>
          </w:p>
        </w:tc>
      </w:tr>
      <w:tr w14:paraId="5A9D1F3E">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2B5A850">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72C44766">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BB39FF8">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48B65E1">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1213E0B">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79E9C6D">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E420800">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72F95DF">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B26B8C3">
            <w:pPr>
              <w:rPr>
                <w:rFonts w:ascii="宋体" w:hAnsi="宋体" w:eastAsia="宋体" w:cs="宋体"/>
                <w:sz w:val="24"/>
                <w:szCs w:val="24"/>
              </w:rPr>
            </w:pPr>
          </w:p>
        </w:tc>
      </w:tr>
      <w:tr w14:paraId="4BFAAEC8">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15BBB9">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F67FE4">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BF5967">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837198">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282C0D">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C1F3B6">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3CD349">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4B64E4">
            <w:pPr>
              <w:jc w:val="center"/>
              <w:rPr>
                <w:rFonts w:ascii="宋体" w:hAnsi="宋体" w:eastAsia="宋体" w:cs="宋体"/>
                <w:sz w:val="24"/>
                <w:szCs w:val="24"/>
              </w:rPr>
            </w:pPr>
            <w:r>
              <w:rPr>
                <w:rFonts w:hint="eastAsia"/>
              </w:rPr>
              <w:t>7</w:t>
            </w:r>
          </w:p>
        </w:tc>
      </w:tr>
      <w:tr w14:paraId="03818017">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1AAAAE">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C331D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D64BD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2F232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AB175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B8A3F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FAE55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765FE4">
            <w:pPr>
              <w:jc w:val="right"/>
              <w:rPr>
                <w:rFonts w:ascii="宋体" w:hAnsi="宋体" w:eastAsia="宋体" w:cs="宋体"/>
                <w:sz w:val="24"/>
                <w:szCs w:val="24"/>
              </w:rPr>
            </w:pPr>
            <w:r>
              <w:rPr>
                <w:rFonts w:hint="eastAsia"/>
              </w:rPr>
              <w:t>　</w:t>
            </w:r>
          </w:p>
        </w:tc>
      </w:tr>
      <w:tr w14:paraId="7F34D94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DE6E2B">
            <w:pPr>
              <w:rPr>
                <w:rFonts w:hint="default" w:ascii="宋体" w:hAnsi="宋体" w:cs="宋体" w:eastAsiaTheme="minorEastAsia"/>
                <w:sz w:val="24"/>
                <w:szCs w:val="24"/>
                <w:lang w:val="en-US" w:eastAsia="zh-CN"/>
              </w:rPr>
            </w:pPr>
            <w:r>
              <w:rPr>
                <w:rFonts w:hint="eastAsia"/>
              </w:rPr>
              <w:t>　</w:t>
            </w:r>
            <w:r>
              <w:rPr>
                <w:rFonts w:hint="eastAsia"/>
                <w:lang w:val="en-US" w:eastAsia="zh-CN"/>
              </w:rPr>
              <w:t>208009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2CA07F">
            <w:pPr>
              <w:rPr>
                <w:rFonts w:hint="default" w:ascii="宋体" w:hAnsi="宋体" w:cs="宋体" w:eastAsiaTheme="minorEastAsia"/>
                <w:sz w:val="24"/>
                <w:szCs w:val="24"/>
                <w:lang w:val="en-US" w:eastAsia="zh-CN"/>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BF8BD">
            <w:pPr>
              <w:tabs>
                <w:tab w:val="center" w:pos="804"/>
                <w:tab w:val="right" w:pos="1939"/>
              </w:tabs>
              <w:jc w:val="left"/>
              <w:rPr>
                <w:rFonts w:ascii="宋体" w:hAnsi="宋体" w:eastAsia="宋体" w:cs="宋体"/>
                <w:sz w:val="24"/>
                <w:szCs w:val="24"/>
              </w:rPr>
            </w:pPr>
            <w:r>
              <w:rPr>
                <w:rFonts w:hint="eastAsia"/>
                <w:lang w:eastAsia="zh-CN"/>
              </w:rPr>
              <w:tab/>
            </w:r>
            <w:r>
              <w:rPr>
                <w:rFonts w:hint="eastAsia"/>
                <w:lang w:val="en-US" w:eastAsia="zh-CN"/>
              </w:rPr>
              <w:t>115.91</w:t>
            </w:r>
            <w:r>
              <w:rPr>
                <w:rFonts w:hint="eastAsia"/>
                <w:lang w:eastAsia="zh-CN"/>
              </w:rPr>
              <w:tab/>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4D4FE6">
            <w:pPr>
              <w:tabs>
                <w:tab w:val="center" w:pos="852"/>
                <w:tab w:val="right" w:pos="2035"/>
              </w:tabs>
              <w:jc w:val="left"/>
              <w:rPr>
                <w:rFonts w:ascii="宋体" w:hAnsi="宋体" w:eastAsia="宋体" w:cs="宋体"/>
                <w:sz w:val="24"/>
                <w:szCs w:val="24"/>
              </w:rPr>
            </w:pPr>
            <w:r>
              <w:rPr>
                <w:rFonts w:hint="eastAsia"/>
                <w:lang w:eastAsia="zh-CN"/>
              </w:rPr>
              <w:tab/>
            </w:r>
            <w:r>
              <w:rPr>
                <w:rFonts w:hint="eastAsia"/>
                <w:lang w:val="en-US" w:eastAsia="zh-CN"/>
              </w:rPr>
              <w:t>115.91</w:t>
            </w:r>
            <w:r>
              <w:rPr>
                <w:rFonts w:hint="eastAsia"/>
                <w:lang w:eastAsia="zh-CN"/>
              </w:rPr>
              <w:tab/>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ED545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0BED2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6FFD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B144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ADD67">
            <w:pPr>
              <w:jc w:val="right"/>
              <w:rPr>
                <w:rFonts w:ascii="宋体" w:hAnsi="宋体" w:eastAsia="宋体" w:cs="宋体"/>
                <w:sz w:val="24"/>
                <w:szCs w:val="24"/>
              </w:rPr>
            </w:pPr>
            <w:r>
              <w:rPr>
                <w:rFonts w:hint="eastAsia"/>
              </w:rPr>
              <w:t>　</w:t>
            </w:r>
          </w:p>
        </w:tc>
      </w:tr>
      <w:tr w14:paraId="179EF564">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ACDB19">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80643B">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E54513">
            <w:pPr>
              <w:jc w:val="right"/>
              <w:rPr>
                <w:rFonts w:ascii="华文中宋" w:hAnsi="华文中宋" w:eastAsia="华文中宋" w:cs="宋体"/>
                <w:sz w:val="24"/>
                <w:szCs w:val="24"/>
              </w:rPr>
            </w:pPr>
            <w:r>
              <w:rPr>
                <w:rFonts w:hint="eastAsia" w:ascii="华文中宋" w:hAnsi="华文中宋" w:eastAsia="华文中宋"/>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CAB4D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94503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E6CE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957F7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23F7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85A9E">
            <w:pPr>
              <w:jc w:val="right"/>
              <w:rPr>
                <w:rFonts w:ascii="宋体" w:hAnsi="宋体" w:eastAsia="宋体" w:cs="宋体"/>
                <w:sz w:val="24"/>
                <w:szCs w:val="24"/>
              </w:rPr>
            </w:pPr>
            <w:r>
              <w:rPr>
                <w:rFonts w:hint="eastAsia"/>
              </w:rPr>
              <w:t>　</w:t>
            </w:r>
          </w:p>
        </w:tc>
      </w:tr>
      <w:tr w14:paraId="0D5021B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28563C">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9085F6">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9D62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B23A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1B957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74608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30E72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19A5E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1C6D9">
            <w:pPr>
              <w:jc w:val="right"/>
              <w:rPr>
                <w:rFonts w:ascii="宋体" w:hAnsi="宋体" w:eastAsia="宋体" w:cs="宋体"/>
                <w:sz w:val="24"/>
                <w:szCs w:val="24"/>
              </w:rPr>
            </w:pPr>
            <w:r>
              <w:rPr>
                <w:rFonts w:hint="eastAsia"/>
              </w:rPr>
              <w:t>　</w:t>
            </w:r>
          </w:p>
        </w:tc>
      </w:tr>
      <w:tr w14:paraId="4A5E375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C18B38">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A02A20">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0B686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DE77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61194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1EEBA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D92F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A910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79F628">
            <w:pPr>
              <w:jc w:val="right"/>
              <w:rPr>
                <w:rFonts w:ascii="宋体" w:hAnsi="宋体" w:eastAsia="宋体" w:cs="宋体"/>
                <w:sz w:val="24"/>
                <w:szCs w:val="24"/>
              </w:rPr>
            </w:pPr>
            <w:r>
              <w:rPr>
                <w:rFonts w:hint="eastAsia"/>
              </w:rPr>
              <w:t>　</w:t>
            </w:r>
          </w:p>
        </w:tc>
      </w:tr>
      <w:tr w14:paraId="1360479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7BF5AB">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BDEE2F">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A02C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DE84A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7808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57384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BE748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1C8D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C36D4D">
            <w:pPr>
              <w:jc w:val="right"/>
              <w:rPr>
                <w:rFonts w:ascii="宋体" w:hAnsi="宋体" w:eastAsia="宋体" w:cs="宋体"/>
                <w:sz w:val="24"/>
                <w:szCs w:val="24"/>
              </w:rPr>
            </w:pPr>
            <w:r>
              <w:rPr>
                <w:rFonts w:hint="eastAsia"/>
              </w:rPr>
              <w:t>　</w:t>
            </w:r>
          </w:p>
        </w:tc>
      </w:tr>
      <w:tr w14:paraId="5D61C08D">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BA9A65">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81037E">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EA97E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EBF84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56D9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2D738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8613C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8E06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C84D55">
            <w:pPr>
              <w:jc w:val="right"/>
              <w:rPr>
                <w:rFonts w:ascii="宋体" w:hAnsi="宋体" w:eastAsia="宋体" w:cs="宋体"/>
                <w:sz w:val="24"/>
                <w:szCs w:val="24"/>
              </w:rPr>
            </w:pPr>
            <w:r>
              <w:rPr>
                <w:rFonts w:hint="eastAsia"/>
              </w:rPr>
              <w:t>　</w:t>
            </w:r>
          </w:p>
        </w:tc>
      </w:tr>
      <w:tr w14:paraId="3DE74AA6">
        <w:tblPrEx>
          <w:tblCellMar>
            <w:top w:w="0" w:type="dxa"/>
            <w:left w:w="0" w:type="dxa"/>
            <w:bottom w:w="0" w:type="dxa"/>
            <w:right w:w="0" w:type="dxa"/>
          </w:tblCellMar>
        </w:tblPrEx>
        <w:trPr>
          <w:trHeight w:val="615" w:hRule="atLeast"/>
        </w:trPr>
        <w:tc>
          <w:tcPr>
            <w:tcW w:w="13900" w:type="dxa"/>
            <w:gridSpan w:val="10"/>
            <w:tcBorders>
              <w:top w:val="nil"/>
              <w:left w:val="nil"/>
              <w:bottom w:val="nil"/>
              <w:right w:val="nil"/>
            </w:tcBorders>
            <w:shd w:val="clear" w:color="auto" w:fill="auto"/>
            <w:tcMar>
              <w:top w:w="15" w:type="dxa"/>
              <w:left w:w="15" w:type="dxa"/>
              <w:bottom w:w="0" w:type="dxa"/>
              <w:right w:w="15" w:type="dxa"/>
            </w:tcMar>
            <w:vAlign w:val="center"/>
          </w:tcPr>
          <w:p w14:paraId="7C7A1C7C">
            <w:pPr>
              <w:rPr>
                <w:rFonts w:ascii="宋体" w:hAnsi="宋体" w:eastAsia="宋体" w:cs="宋体"/>
                <w:sz w:val="24"/>
                <w:szCs w:val="24"/>
              </w:rPr>
            </w:pPr>
            <w:r>
              <w:rPr>
                <w:rFonts w:hint="eastAsia"/>
              </w:rPr>
              <w:t>注：本表反映部门本年度取得的各项收入情况。</w:t>
            </w:r>
          </w:p>
        </w:tc>
      </w:tr>
    </w:tbl>
    <w:p w14:paraId="4D66AB42">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1FC15F57">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2969620A">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5F264433">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02E04CD5">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0171E5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59F8CCF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461776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69B0E7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A11B1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C3B3C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E4B05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8D949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0C2EF8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437A6AEB">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04BA83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557CE4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5DE072BC">
            <w:pPr>
              <w:widowControl/>
              <w:jc w:val="right"/>
              <w:rPr>
                <w:rFonts w:ascii="宋体" w:hAnsi="宋体" w:eastAsia="宋体" w:cs="宋体"/>
                <w:kern w:val="0"/>
                <w:sz w:val="24"/>
                <w:szCs w:val="24"/>
              </w:rPr>
            </w:pPr>
            <w:r>
              <w:rPr>
                <w:rFonts w:hint="eastAsia" w:ascii="宋体" w:hAnsi="宋体" w:eastAsia="宋体" w:cs="宋体"/>
                <w:kern w:val="0"/>
                <w:sz w:val="24"/>
                <w:szCs w:val="24"/>
                <w:lang w:eastAsia="zh-CN"/>
              </w:rPr>
              <w:t>沅江市工伤保险服务中心</w:t>
            </w: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2BB67F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A218A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393B0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6DF73A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030B35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7F2B8C8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F9B2442">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1186331">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4BCD7C4">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2D04470">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401E74A">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1BE9778">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507A225">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BD1A242">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47088BF2">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18D5E7C">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7F004E7E">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41A8B54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9FD7FF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2340E35">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377974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E5A4447">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6D7256DA">
            <w:pPr>
              <w:widowControl/>
              <w:jc w:val="left"/>
              <w:rPr>
                <w:rFonts w:ascii="宋体" w:hAnsi="宋体" w:eastAsia="宋体" w:cs="宋体"/>
                <w:kern w:val="0"/>
                <w:sz w:val="24"/>
                <w:szCs w:val="24"/>
              </w:rPr>
            </w:pPr>
          </w:p>
        </w:tc>
      </w:tr>
      <w:tr w14:paraId="206880CE">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0E4A9E2E">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3F1A309D">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206658D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738FB1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FA98E0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FD7302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C9F8E4C">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51561B95">
            <w:pPr>
              <w:widowControl/>
              <w:jc w:val="left"/>
              <w:rPr>
                <w:rFonts w:ascii="宋体" w:hAnsi="宋体" w:eastAsia="宋体" w:cs="宋体"/>
                <w:kern w:val="0"/>
                <w:sz w:val="24"/>
                <w:szCs w:val="24"/>
              </w:rPr>
            </w:pPr>
          </w:p>
        </w:tc>
      </w:tr>
      <w:tr w14:paraId="13DC06D3">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7B8327E">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26610161">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2C5A722B">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760901AA">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2FB7D00E">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562073D3">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51AF021D">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00A93013">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BD309F1">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5502AA4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38FE3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4307B8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85D7F0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C6290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EFCE6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816D95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7D3C52">
            <w:pPr>
              <w:widowControl/>
              <w:jc w:val="left"/>
              <w:rPr>
                <w:rFonts w:ascii="宋体" w:hAnsi="宋体" w:eastAsia="宋体" w:cs="宋体"/>
                <w:kern w:val="0"/>
                <w:sz w:val="24"/>
                <w:szCs w:val="24"/>
              </w:rPr>
            </w:pPr>
            <w:r>
              <w:rPr>
                <w:rFonts w:hint="eastAsia" w:ascii="宋体" w:hAnsi="宋体" w:eastAsia="宋体" w:cs="宋体"/>
                <w:kern w:val="0"/>
                <w:sz w:val="24"/>
                <w:szCs w:val="24"/>
                <w:lang w:val="en-US" w:eastAsia="zh-CN"/>
              </w:rPr>
              <w:t>208009</w:t>
            </w: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717CBD1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7B93EE7F">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115.91</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E586F5D">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103.09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1C6CE53">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12.82</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8CE4C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F547D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3FC4F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C06A8D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613B44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383C046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4B518A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E0C48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7437A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B5EEE7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C255C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9A712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141779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47711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30C4794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6FEACFD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C965B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BADEE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1F426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92B7C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E4858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C40225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4EECA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5CB163E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7028C2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4EF04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6D065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487D8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03E90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DA45A2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8AEC5E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65BF8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52B34C9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1E152F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E4ACA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B33704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6DD2A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C191A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FAE8F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FBC6DB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7F025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597DDEE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39F8C1D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A8114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A5F04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5C476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194E3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F73AF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3F6F7F0">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1D97F36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0B107479">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252AB222">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03326484">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51587BB1">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10FA7BB7">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4E542CCC">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3B3A06A6">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E6CCA31">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A2630AC">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5566078C">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54F3834">
            <w:pPr>
              <w:widowControl/>
              <w:jc w:val="right"/>
              <w:rPr>
                <w:rFonts w:ascii="宋体" w:hAnsi="宋体" w:eastAsia="宋体" w:cs="宋体"/>
                <w:kern w:val="0"/>
                <w:sz w:val="24"/>
                <w:szCs w:val="24"/>
              </w:rPr>
            </w:pPr>
          </w:p>
        </w:tc>
      </w:tr>
      <w:tr w14:paraId="0955F876">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416A99B7">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A3AC22A">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78F89F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3EAC6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9F6D8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7AEC0F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5A6E9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22B25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523C7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15695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D4B102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738B14C">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1FDBB606">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沅江市工伤保险服务中心</w:t>
            </w:r>
          </w:p>
        </w:tc>
        <w:tc>
          <w:tcPr>
            <w:tcW w:w="435" w:type="dxa"/>
            <w:tcBorders>
              <w:top w:val="nil"/>
              <w:left w:val="nil"/>
              <w:bottom w:val="nil"/>
              <w:right w:val="nil"/>
            </w:tcBorders>
            <w:shd w:val="clear" w:color="000000" w:fill="FFFFFF"/>
            <w:noWrap/>
            <w:vAlign w:val="center"/>
          </w:tcPr>
          <w:p w14:paraId="5C0780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225BF2A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87615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E20542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266E1A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B25834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D036A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96CF24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F9234EB">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B137AA1">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4776CDF8">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110AD38">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DC4C2A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44385CB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1C60AA26">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22302CF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19F22FA0">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1FED2801">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2FCFE1C4">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3486E029">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471187D5">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28F252C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FF33066">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165D6D6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7394FF8B">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77CFEA30">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158DE77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66A4688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506E0DF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3F59B7C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34DF0EE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BD745F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1784553">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13C40859">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39AF560F">
            <w:pPr>
              <w:widowControl/>
              <w:jc w:val="right"/>
              <w:rPr>
                <w:rFonts w:ascii="宋体" w:hAnsi="宋体" w:eastAsia="宋体" w:cs="宋体"/>
                <w:kern w:val="0"/>
                <w:sz w:val="22"/>
              </w:rPr>
            </w:pPr>
            <w:r>
              <w:rPr>
                <w:rFonts w:hint="eastAsia" w:ascii="宋体" w:hAnsi="宋体" w:eastAsia="宋体" w:cs="宋体"/>
                <w:kern w:val="0"/>
                <w:sz w:val="22"/>
                <w:lang w:val="en-US" w:eastAsia="zh-CN"/>
              </w:rPr>
              <w:t>115.91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27091E7">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39797C9">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1A07BC47">
            <w:pPr>
              <w:widowControl/>
              <w:jc w:val="center"/>
              <w:rPr>
                <w:rFonts w:ascii="宋体" w:hAnsi="宋体" w:eastAsia="宋体" w:cs="宋体"/>
                <w:kern w:val="0"/>
                <w:sz w:val="22"/>
              </w:rPr>
            </w:pPr>
            <w:r>
              <w:rPr>
                <w:rFonts w:hint="eastAsia" w:ascii="宋体" w:hAnsi="宋体" w:eastAsia="宋体" w:cs="宋体"/>
                <w:kern w:val="0"/>
                <w:sz w:val="22"/>
                <w:lang w:val="en-US" w:eastAsia="zh-CN"/>
              </w:rPr>
              <w:t>115.91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57C4148">
            <w:pPr>
              <w:widowControl/>
              <w:jc w:val="center"/>
              <w:rPr>
                <w:rFonts w:ascii="宋体" w:hAnsi="宋体" w:eastAsia="宋体" w:cs="宋体"/>
                <w:kern w:val="0"/>
                <w:sz w:val="22"/>
              </w:rPr>
            </w:pPr>
            <w:r>
              <w:rPr>
                <w:rFonts w:hint="eastAsia" w:ascii="宋体" w:hAnsi="宋体" w:eastAsia="宋体" w:cs="宋体"/>
                <w:kern w:val="0"/>
                <w:sz w:val="22"/>
                <w:lang w:val="en-US" w:eastAsia="zh-CN"/>
              </w:rPr>
              <w:t>115.91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91995D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DD0B985">
            <w:pPr>
              <w:widowControl/>
              <w:jc w:val="right"/>
              <w:rPr>
                <w:rFonts w:ascii="宋体" w:hAnsi="宋体" w:eastAsia="宋体" w:cs="宋体"/>
                <w:kern w:val="0"/>
                <w:sz w:val="22"/>
              </w:rPr>
            </w:pPr>
            <w:r>
              <w:rPr>
                <w:rFonts w:hint="eastAsia" w:ascii="宋体" w:hAnsi="宋体" w:eastAsia="宋体" w:cs="宋体"/>
                <w:kern w:val="0"/>
                <w:sz w:val="22"/>
              </w:rPr>
              <w:t>　</w:t>
            </w:r>
          </w:p>
        </w:tc>
      </w:tr>
      <w:tr w14:paraId="38DD4A4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BA1EAE8">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73F9B4D0">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0C007D4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5CB90DB">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C719698">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2CD4F88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A214C4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E6F998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8AE54F5">
            <w:pPr>
              <w:widowControl/>
              <w:jc w:val="right"/>
              <w:rPr>
                <w:rFonts w:ascii="宋体" w:hAnsi="宋体" w:eastAsia="宋体" w:cs="宋体"/>
                <w:kern w:val="0"/>
                <w:sz w:val="22"/>
              </w:rPr>
            </w:pPr>
            <w:r>
              <w:rPr>
                <w:rFonts w:hint="eastAsia" w:ascii="宋体" w:hAnsi="宋体" w:eastAsia="宋体" w:cs="宋体"/>
                <w:kern w:val="0"/>
                <w:sz w:val="22"/>
              </w:rPr>
              <w:t>　</w:t>
            </w:r>
          </w:p>
        </w:tc>
      </w:tr>
      <w:tr w14:paraId="33B027C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D509D60">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779B9CAD">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61EC324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B5C6C5F">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9E91300">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06C7A16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C833B5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0ADA80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EE24D5D">
            <w:pPr>
              <w:widowControl/>
              <w:jc w:val="right"/>
              <w:rPr>
                <w:rFonts w:ascii="宋体" w:hAnsi="宋体" w:eastAsia="宋体" w:cs="宋体"/>
                <w:kern w:val="0"/>
                <w:sz w:val="22"/>
              </w:rPr>
            </w:pPr>
            <w:r>
              <w:rPr>
                <w:rFonts w:hint="eastAsia" w:ascii="宋体" w:hAnsi="宋体" w:eastAsia="宋体" w:cs="宋体"/>
                <w:kern w:val="0"/>
                <w:sz w:val="22"/>
              </w:rPr>
              <w:t>　</w:t>
            </w:r>
          </w:p>
        </w:tc>
      </w:tr>
      <w:tr w14:paraId="2CBC2B4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7F273D2">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5ED181B5">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0CD8740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F7BA533">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C491CE7">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358C1A2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367EE9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3A1BA2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BAF12FE">
            <w:pPr>
              <w:widowControl/>
              <w:jc w:val="right"/>
              <w:rPr>
                <w:rFonts w:ascii="宋体" w:hAnsi="宋体" w:eastAsia="宋体" w:cs="宋体"/>
                <w:kern w:val="0"/>
                <w:sz w:val="22"/>
              </w:rPr>
            </w:pPr>
            <w:r>
              <w:rPr>
                <w:rFonts w:hint="eastAsia" w:ascii="宋体" w:hAnsi="宋体" w:eastAsia="宋体" w:cs="宋体"/>
                <w:kern w:val="0"/>
                <w:sz w:val="22"/>
              </w:rPr>
              <w:t>　</w:t>
            </w:r>
          </w:p>
        </w:tc>
      </w:tr>
      <w:tr w14:paraId="0A7540B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B40B11B">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69F1C119">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0AF395B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9ADD67E">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869E227">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30484AF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08B973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8B8C91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F9A813F">
            <w:pPr>
              <w:widowControl/>
              <w:jc w:val="right"/>
              <w:rPr>
                <w:rFonts w:ascii="宋体" w:hAnsi="宋体" w:eastAsia="宋体" w:cs="宋体"/>
                <w:kern w:val="0"/>
                <w:sz w:val="22"/>
              </w:rPr>
            </w:pPr>
            <w:r>
              <w:rPr>
                <w:rFonts w:hint="eastAsia" w:ascii="宋体" w:hAnsi="宋体" w:eastAsia="宋体" w:cs="宋体"/>
                <w:kern w:val="0"/>
                <w:sz w:val="22"/>
              </w:rPr>
              <w:t>　</w:t>
            </w:r>
          </w:p>
        </w:tc>
      </w:tr>
      <w:tr w14:paraId="7A8A2EB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27D33C0">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1921EA9C">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438FB03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3A836B9">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A4A8386">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28F8E66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50AFC9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007E7B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32924C7">
            <w:pPr>
              <w:widowControl/>
              <w:jc w:val="right"/>
              <w:rPr>
                <w:rFonts w:ascii="宋体" w:hAnsi="宋体" w:eastAsia="宋体" w:cs="宋体"/>
                <w:kern w:val="0"/>
                <w:sz w:val="22"/>
              </w:rPr>
            </w:pPr>
            <w:r>
              <w:rPr>
                <w:rFonts w:hint="eastAsia" w:ascii="宋体" w:hAnsi="宋体" w:eastAsia="宋体" w:cs="宋体"/>
                <w:kern w:val="0"/>
                <w:sz w:val="22"/>
              </w:rPr>
              <w:t>　</w:t>
            </w:r>
          </w:p>
        </w:tc>
      </w:tr>
      <w:tr w14:paraId="2EDE16A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717184E">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69629D40">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4D5AAF3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5862BFA">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0BE1BE2F">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40C0D1F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CDD018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D7E8D1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3BB0AED">
            <w:pPr>
              <w:widowControl/>
              <w:jc w:val="right"/>
              <w:rPr>
                <w:rFonts w:ascii="宋体" w:hAnsi="宋体" w:eastAsia="宋体" w:cs="宋体"/>
                <w:kern w:val="0"/>
                <w:sz w:val="22"/>
              </w:rPr>
            </w:pPr>
            <w:r>
              <w:rPr>
                <w:rFonts w:hint="eastAsia" w:ascii="宋体" w:hAnsi="宋体" w:eastAsia="宋体" w:cs="宋体"/>
                <w:kern w:val="0"/>
                <w:sz w:val="22"/>
              </w:rPr>
              <w:t>　</w:t>
            </w:r>
          </w:p>
        </w:tc>
      </w:tr>
      <w:tr w14:paraId="0353CE9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B6D4799">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E96F87C">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4B759CCB">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A53AA6C">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4E4C4F6">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0386A01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56273B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0AAF82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748ACB1">
            <w:pPr>
              <w:widowControl/>
              <w:jc w:val="center"/>
              <w:rPr>
                <w:rFonts w:ascii="宋体" w:hAnsi="宋体" w:eastAsia="宋体" w:cs="宋体"/>
                <w:kern w:val="0"/>
                <w:sz w:val="22"/>
              </w:rPr>
            </w:pPr>
            <w:r>
              <w:rPr>
                <w:rFonts w:hint="eastAsia" w:ascii="宋体" w:hAnsi="宋体" w:eastAsia="宋体" w:cs="宋体"/>
                <w:kern w:val="0"/>
                <w:sz w:val="22"/>
              </w:rPr>
              <w:t>　</w:t>
            </w:r>
          </w:p>
        </w:tc>
      </w:tr>
      <w:tr w14:paraId="7493EC8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4E46CBC">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11FE6B0A">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455FFB1A">
            <w:pPr>
              <w:widowControl/>
              <w:jc w:val="right"/>
              <w:rPr>
                <w:rFonts w:ascii="宋体" w:hAnsi="宋体" w:eastAsia="宋体" w:cs="宋体"/>
                <w:kern w:val="0"/>
                <w:sz w:val="22"/>
              </w:rPr>
            </w:pPr>
            <w:r>
              <w:rPr>
                <w:rFonts w:hint="eastAsia" w:ascii="宋体" w:hAnsi="宋体" w:eastAsia="宋体" w:cs="宋体"/>
                <w:kern w:val="0"/>
                <w:sz w:val="22"/>
                <w:lang w:val="en-US" w:eastAsia="zh-CN"/>
              </w:rPr>
              <w:t>115.91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5612FD9">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0A9DEC43">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7B069EF1">
            <w:pPr>
              <w:widowControl/>
              <w:jc w:val="center"/>
              <w:rPr>
                <w:rFonts w:ascii="宋体" w:hAnsi="宋体" w:eastAsia="宋体" w:cs="宋体"/>
                <w:kern w:val="0"/>
                <w:sz w:val="22"/>
              </w:rPr>
            </w:pPr>
            <w:r>
              <w:rPr>
                <w:rFonts w:hint="eastAsia" w:ascii="宋体" w:hAnsi="宋体" w:eastAsia="宋体" w:cs="宋体"/>
                <w:kern w:val="0"/>
                <w:sz w:val="22"/>
                <w:lang w:val="en-US" w:eastAsia="zh-CN"/>
              </w:rPr>
              <w:t>115.91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5393DB6">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115.91</w:t>
            </w:r>
          </w:p>
        </w:tc>
        <w:tc>
          <w:tcPr>
            <w:tcW w:w="1394" w:type="dxa"/>
            <w:tcBorders>
              <w:top w:val="nil"/>
              <w:left w:val="nil"/>
              <w:bottom w:val="single" w:color="auto" w:sz="4" w:space="0"/>
              <w:right w:val="single" w:color="auto" w:sz="4" w:space="0"/>
            </w:tcBorders>
            <w:shd w:val="clear" w:color="auto" w:fill="auto"/>
            <w:noWrap/>
            <w:vAlign w:val="center"/>
          </w:tcPr>
          <w:p w14:paraId="612B4FF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865CD6D">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2B353A5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F424675">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1D0D4455">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3B3F1CD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2B5CAC2">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7A0A1336">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658100E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0D4FBC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3F88B5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91F0E36">
            <w:pPr>
              <w:widowControl/>
              <w:jc w:val="left"/>
              <w:rPr>
                <w:rFonts w:ascii="宋体" w:hAnsi="宋体" w:eastAsia="宋体" w:cs="宋体"/>
                <w:kern w:val="0"/>
                <w:sz w:val="22"/>
              </w:rPr>
            </w:pPr>
            <w:r>
              <w:rPr>
                <w:rFonts w:hint="eastAsia" w:ascii="宋体" w:hAnsi="宋体" w:eastAsia="宋体" w:cs="宋体"/>
                <w:kern w:val="0"/>
                <w:sz w:val="22"/>
              </w:rPr>
              <w:t>　</w:t>
            </w:r>
          </w:p>
        </w:tc>
      </w:tr>
      <w:tr w14:paraId="100C8B6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0221F70">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21FF2703">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70B05D2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E1BCDCC">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3435328">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5F5D315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141793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F9EF38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CE04253">
            <w:pPr>
              <w:widowControl/>
              <w:jc w:val="left"/>
              <w:rPr>
                <w:rFonts w:ascii="宋体" w:hAnsi="宋体" w:eastAsia="宋体" w:cs="宋体"/>
                <w:kern w:val="0"/>
                <w:sz w:val="22"/>
              </w:rPr>
            </w:pPr>
            <w:r>
              <w:rPr>
                <w:rFonts w:hint="eastAsia" w:ascii="宋体" w:hAnsi="宋体" w:eastAsia="宋体" w:cs="宋体"/>
                <w:kern w:val="0"/>
                <w:sz w:val="22"/>
              </w:rPr>
              <w:t>　</w:t>
            </w:r>
          </w:p>
        </w:tc>
      </w:tr>
      <w:tr w14:paraId="380F092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A15D6E8">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02E91C5C">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4673BB1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7374424">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06A149A">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7378027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4B57A7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7D7CDE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FBED635">
            <w:pPr>
              <w:widowControl/>
              <w:jc w:val="left"/>
              <w:rPr>
                <w:rFonts w:ascii="宋体" w:hAnsi="宋体" w:eastAsia="宋体" w:cs="宋体"/>
                <w:kern w:val="0"/>
                <w:sz w:val="22"/>
              </w:rPr>
            </w:pPr>
            <w:r>
              <w:rPr>
                <w:rFonts w:hint="eastAsia" w:ascii="宋体" w:hAnsi="宋体" w:eastAsia="宋体" w:cs="宋体"/>
                <w:kern w:val="0"/>
                <w:sz w:val="22"/>
              </w:rPr>
              <w:t>　</w:t>
            </w:r>
          </w:p>
        </w:tc>
      </w:tr>
      <w:tr w14:paraId="4A929C4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39D551A">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777FFA6D">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3FB3E67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78831E2">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2F7CC3E">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0EE3788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12D9BE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65426B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231CD2D">
            <w:pPr>
              <w:widowControl/>
              <w:jc w:val="left"/>
              <w:rPr>
                <w:rFonts w:ascii="宋体" w:hAnsi="宋体" w:eastAsia="宋体" w:cs="宋体"/>
                <w:kern w:val="0"/>
                <w:sz w:val="22"/>
              </w:rPr>
            </w:pPr>
            <w:r>
              <w:rPr>
                <w:rFonts w:hint="eastAsia" w:ascii="宋体" w:hAnsi="宋体" w:eastAsia="宋体" w:cs="宋体"/>
                <w:kern w:val="0"/>
                <w:sz w:val="22"/>
              </w:rPr>
              <w:t>　</w:t>
            </w:r>
          </w:p>
        </w:tc>
      </w:tr>
      <w:tr w14:paraId="693836D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0EF9004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5ADEFF45">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506A8D2B">
            <w:pPr>
              <w:widowControl/>
              <w:jc w:val="right"/>
              <w:rPr>
                <w:rFonts w:ascii="宋体" w:hAnsi="宋体" w:eastAsia="宋体" w:cs="宋体"/>
                <w:kern w:val="0"/>
                <w:sz w:val="22"/>
              </w:rPr>
            </w:pPr>
            <w:r>
              <w:rPr>
                <w:rFonts w:hint="eastAsia" w:ascii="宋体" w:hAnsi="宋体" w:eastAsia="宋体" w:cs="宋体"/>
                <w:kern w:val="0"/>
                <w:sz w:val="22"/>
                <w:lang w:val="en-US" w:eastAsia="zh-CN"/>
              </w:rPr>
              <w:t>115.91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6CC1251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2BDB42FF">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0C9AF5A7">
            <w:pPr>
              <w:widowControl/>
              <w:jc w:val="center"/>
              <w:rPr>
                <w:rFonts w:ascii="宋体" w:hAnsi="宋体" w:eastAsia="宋体" w:cs="宋体"/>
                <w:kern w:val="0"/>
                <w:sz w:val="22"/>
              </w:rPr>
            </w:pPr>
            <w:r>
              <w:rPr>
                <w:rFonts w:hint="eastAsia" w:ascii="宋体" w:hAnsi="宋体" w:eastAsia="宋体" w:cs="宋体"/>
                <w:kern w:val="0"/>
                <w:sz w:val="22"/>
                <w:lang w:val="en-US" w:eastAsia="zh-CN"/>
              </w:rPr>
              <w:t>115.91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4D675273">
            <w:pPr>
              <w:widowControl/>
              <w:jc w:val="center"/>
              <w:rPr>
                <w:rFonts w:ascii="宋体" w:hAnsi="宋体" w:eastAsia="宋体" w:cs="宋体"/>
                <w:kern w:val="0"/>
                <w:sz w:val="22"/>
              </w:rPr>
            </w:pPr>
            <w:r>
              <w:rPr>
                <w:rFonts w:hint="eastAsia" w:ascii="宋体" w:hAnsi="宋体" w:eastAsia="宋体" w:cs="宋体"/>
                <w:kern w:val="0"/>
                <w:sz w:val="22"/>
                <w:lang w:val="en-US" w:eastAsia="zh-CN"/>
              </w:rPr>
              <w:t>115.91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3DD3A76">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E068AE4">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B93A853">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B6111DB">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DCFCAC4">
      <w:pPr>
        <w:widowControl/>
        <w:jc w:val="center"/>
        <w:rPr>
          <w:rFonts w:ascii="Times New Roman" w:hAnsi="Times New Roman" w:eastAsia="方正小标宋_GBK" w:cs="Times New Roman"/>
          <w:kern w:val="0"/>
          <w:sz w:val="36"/>
          <w:szCs w:val="36"/>
        </w:rPr>
      </w:pPr>
    </w:p>
    <w:p w14:paraId="66B7BE36">
      <w:pPr>
        <w:widowControl/>
        <w:jc w:val="center"/>
        <w:rPr>
          <w:rFonts w:ascii="Times New Roman" w:hAnsi="Times New Roman" w:eastAsia="方正小标宋_GBK" w:cs="Times New Roman"/>
          <w:kern w:val="0"/>
          <w:sz w:val="36"/>
          <w:szCs w:val="36"/>
        </w:rPr>
      </w:pPr>
    </w:p>
    <w:p w14:paraId="710681A6">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053E3B3">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沅江市工伤保险服务中心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47127C54">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A193739">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AD4E36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3D04940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91CFD96">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5DE63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508E03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4EA824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B008A4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D5D588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585673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382450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14EB70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C8C3D2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624C69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F16CD77">
            <w:pPr>
              <w:widowControl/>
              <w:jc w:val="left"/>
              <w:rPr>
                <w:rFonts w:ascii="Times New Roman" w:hAnsi="Times New Roman" w:eastAsia="仿宋_GB2312" w:cs="Times New Roman"/>
                <w:kern w:val="0"/>
                <w:szCs w:val="21"/>
              </w:rPr>
            </w:pPr>
          </w:p>
        </w:tc>
      </w:tr>
      <w:tr w14:paraId="7B9A60AA">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06E2C6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5DFD28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78F862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0DE594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ED26853">
            <w:pPr>
              <w:widowControl/>
              <w:jc w:val="left"/>
              <w:rPr>
                <w:rFonts w:ascii="Times New Roman" w:hAnsi="Times New Roman" w:eastAsia="仿宋_GB2312" w:cs="Times New Roman"/>
                <w:kern w:val="0"/>
                <w:szCs w:val="21"/>
              </w:rPr>
            </w:pPr>
          </w:p>
        </w:tc>
      </w:tr>
      <w:tr w14:paraId="531B961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9BD1F0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579834A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C6CCF3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D0E0EE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724E4C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456635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281CE8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115.91</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06914D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103.09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0D3C3A7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12.82</w:t>
            </w:r>
            <w:r>
              <w:rPr>
                <w:rFonts w:ascii="Times New Roman" w:hAnsi="Times New Roman" w:eastAsia="仿宋_GB2312" w:cs="Times New Roman"/>
                <w:kern w:val="0"/>
                <w:szCs w:val="21"/>
              </w:rPr>
              <w:t>　</w:t>
            </w:r>
          </w:p>
        </w:tc>
      </w:tr>
      <w:tr w14:paraId="3A7B76A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91562F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5A740E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10CD15F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E8A25B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6D37B6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42B872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414E58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354559E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1B4F710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6978742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9D0965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CE127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E31EF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4DB218E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592813C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6625CDA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7D8ADFE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060D55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2388A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75562B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551FB7A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78E4A7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C84FC5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52975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2EF6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4F5074F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2C83C55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1656B6F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AE6B26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CE3448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24AB91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1FBB4ED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62FF1A4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0561A81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2AF6249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E4A9BCD">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5B2F00E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04D7E056">
      <w:pPr>
        <w:widowControl/>
        <w:jc w:val="left"/>
        <w:rPr>
          <w:rFonts w:ascii="Times New Roman" w:hAnsi="Times New Roman" w:eastAsia="仿宋_GB2312" w:cs="Times New Roman"/>
          <w:bCs/>
          <w:kern w:val="0"/>
          <w:szCs w:val="21"/>
        </w:rPr>
      </w:pPr>
    </w:p>
    <w:p w14:paraId="7845AD39">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autofit"/>
        <w:tblCellMar>
          <w:top w:w="0" w:type="dxa"/>
          <w:left w:w="108" w:type="dxa"/>
          <w:bottom w:w="0" w:type="dxa"/>
          <w:right w:w="108" w:type="dxa"/>
        </w:tblCellMar>
      </w:tblPr>
      <w:tblGrid>
        <w:gridCol w:w="869"/>
        <w:gridCol w:w="236"/>
        <w:gridCol w:w="81"/>
        <w:gridCol w:w="1119"/>
        <w:gridCol w:w="1740"/>
        <w:gridCol w:w="199"/>
        <w:gridCol w:w="1934"/>
        <w:gridCol w:w="1051"/>
        <w:gridCol w:w="262"/>
        <w:gridCol w:w="1696"/>
        <w:gridCol w:w="220"/>
        <w:gridCol w:w="1042"/>
        <w:gridCol w:w="1051"/>
        <w:gridCol w:w="299"/>
        <w:gridCol w:w="1795"/>
        <w:gridCol w:w="1444"/>
        <w:gridCol w:w="351"/>
        <w:gridCol w:w="225"/>
      </w:tblGrid>
      <w:tr w14:paraId="4949E04B">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269A43D5">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33C09EBA">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DF014EB">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7B2AAF6F">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AD0234">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14:paraId="029AF33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7" w:type="dxa"/>
            <w:gridSpan w:val="2"/>
            <w:tcBorders>
              <w:top w:val="single" w:color="auto" w:sz="4" w:space="0"/>
              <w:left w:val="nil"/>
              <w:bottom w:val="single" w:color="auto" w:sz="4" w:space="0"/>
              <w:right w:val="single" w:color="auto" w:sz="4" w:space="0"/>
            </w:tcBorders>
            <w:shd w:val="clear" w:color="auto" w:fill="auto"/>
            <w:vAlign w:val="center"/>
          </w:tcPr>
          <w:p w14:paraId="58BBB8B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14:paraId="1F3F5F0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051FF05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034653B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14:paraId="4686607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3"/>
            <w:tcBorders>
              <w:top w:val="single" w:color="auto" w:sz="4" w:space="0"/>
              <w:left w:val="nil"/>
              <w:bottom w:val="single" w:color="auto" w:sz="4" w:space="0"/>
              <w:right w:val="single" w:color="auto" w:sz="4" w:space="0"/>
            </w:tcBorders>
            <w:shd w:val="clear" w:color="auto" w:fill="auto"/>
            <w:vAlign w:val="center"/>
          </w:tcPr>
          <w:p w14:paraId="463576C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6D3A6E6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3A45E53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F6178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14:paraId="220B7D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4E9E46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7AF450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14:paraId="757E50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DA48E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4C94BB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gridSpan w:val="3"/>
            <w:tcBorders>
              <w:top w:val="nil"/>
              <w:left w:val="nil"/>
              <w:bottom w:val="single" w:color="auto" w:sz="4" w:space="0"/>
              <w:right w:val="single" w:color="auto" w:sz="4" w:space="0"/>
            </w:tcBorders>
            <w:shd w:val="clear" w:color="auto" w:fill="auto"/>
            <w:noWrap/>
            <w:vAlign w:val="center"/>
          </w:tcPr>
          <w:p w14:paraId="1E8EAB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54450D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7A227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8A1DB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14:paraId="0586FB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66EF96C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44.65</w:t>
            </w:r>
          </w:p>
        </w:tc>
        <w:tc>
          <w:tcPr>
            <w:tcW w:w="1222" w:type="dxa"/>
            <w:tcBorders>
              <w:top w:val="nil"/>
              <w:left w:val="nil"/>
              <w:bottom w:val="single" w:color="auto" w:sz="4" w:space="0"/>
              <w:right w:val="single" w:color="auto" w:sz="4" w:space="0"/>
            </w:tcBorders>
            <w:shd w:val="clear" w:color="auto" w:fill="auto"/>
            <w:noWrap/>
            <w:vAlign w:val="center"/>
          </w:tcPr>
          <w:p w14:paraId="5063A1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14:paraId="071B16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gridSpan w:val="2"/>
            <w:tcBorders>
              <w:top w:val="nil"/>
              <w:left w:val="nil"/>
              <w:bottom w:val="single" w:color="auto" w:sz="4" w:space="0"/>
              <w:right w:val="single" w:color="auto" w:sz="4" w:space="0"/>
            </w:tcBorders>
            <w:shd w:val="clear" w:color="auto" w:fill="auto"/>
            <w:noWrap/>
            <w:vAlign w:val="center"/>
          </w:tcPr>
          <w:p w14:paraId="512BBED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1.491.491.49</w:t>
            </w:r>
          </w:p>
        </w:tc>
        <w:tc>
          <w:tcPr>
            <w:tcW w:w="1223" w:type="dxa"/>
            <w:tcBorders>
              <w:top w:val="nil"/>
              <w:left w:val="nil"/>
              <w:bottom w:val="single" w:color="auto" w:sz="4" w:space="0"/>
              <w:right w:val="single" w:color="auto" w:sz="4" w:space="0"/>
            </w:tcBorders>
            <w:shd w:val="clear" w:color="auto" w:fill="auto"/>
            <w:noWrap/>
            <w:vAlign w:val="center"/>
          </w:tcPr>
          <w:p w14:paraId="09C806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gridSpan w:val="3"/>
            <w:tcBorders>
              <w:top w:val="nil"/>
              <w:left w:val="nil"/>
              <w:bottom w:val="single" w:color="auto" w:sz="4" w:space="0"/>
              <w:right w:val="single" w:color="auto" w:sz="4" w:space="0"/>
            </w:tcBorders>
            <w:shd w:val="clear" w:color="auto" w:fill="auto"/>
            <w:noWrap/>
            <w:vAlign w:val="center"/>
          </w:tcPr>
          <w:p w14:paraId="34F2B0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734CA6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12668E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C8D7A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14:paraId="12A14E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2446D8D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28.53</w:t>
            </w:r>
          </w:p>
        </w:tc>
        <w:tc>
          <w:tcPr>
            <w:tcW w:w="1222" w:type="dxa"/>
            <w:tcBorders>
              <w:top w:val="nil"/>
              <w:left w:val="nil"/>
              <w:bottom w:val="single" w:color="auto" w:sz="4" w:space="0"/>
              <w:right w:val="single" w:color="auto" w:sz="4" w:space="0"/>
            </w:tcBorders>
            <w:shd w:val="clear" w:color="auto" w:fill="auto"/>
            <w:noWrap/>
            <w:vAlign w:val="center"/>
          </w:tcPr>
          <w:p w14:paraId="3FA4DB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14:paraId="69D770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gridSpan w:val="2"/>
            <w:tcBorders>
              <w:top w:val="nil"/>
              <w:left w:val="nil"/>
              <w:bottom w:val="single" w:color="auto" w:sz="4" w:space="0"/>
              <w:right w:val="single" w:color="auto" w:sz="4" w:space="0"/>
            </w:tcBorders>
            <w:shd w:val="clear" w:color="auto" w:fill="auto"/>
            <w:noWrap/>
            <w:vAlign w:val="center"/>
          </w:tcPr>
          <w:p w14:paraId="5A85CA6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2.56</w:t>
            </w:r>
          </w:p>
        </w:tc>
        <w:tc>
          <w:tcPr>
            <w:tcW w:w="1223" w:type="dxa"/>
            <w:tcBorders>
              <w:top w:val="nil"/>
              <w:left w:val="nil"/>
              <w:bottom w:val="single" w:color="auto" w:sz="4" w:space="0"/>
              <w:right w:val="single" w:color="auto" w:sz="4" w:space="0"/>
            </w:tcBorders>
            <w:shd w:val="clear" w:color="auto" w:fill="auto"/>
            <w:noWrap/>
            <w:vAlign w:val="center"/>
          </w:tcPr>
          <w:p w14:paraId="685C24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gridSpan w:val="3"/>
            <w:tcBorders>
              <w:top w:val="nil"/>
              <w:left w:val="nil"/>
              <w:bottom w:val="single" w:color="auto" w:sz="4" w:space="0"/>
              <w:right w:val="single" w:color="auto" w:sz="4" w:space="0"/>
            </w:tcBorders>
            <w:shd w:val="clear" w:color="auto" w:fill="auto"/>
            <w:noWrap/>
            <w:vAlign w:val="center"/>
          </w:tcPr>
          <w:p w14:paraId="5E27CC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3ACA5A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F6CE17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256D6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14:paraId="1269B7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47" w:type="dxa"/>
            <w:gridSpan w:val="2"/>
            <w:tcBorders>
              <w:top w:val="nil"/>
              <w:left w:val="nil"/>
              <w:bottom w:val="single" w:color="auto" w:sz="4" w:space="0"/>
              <w:right w:val="single" w:color="auto" w:sz="4" w:space="0"/>
            </w:tcBorders>
            <w:shd w:val="clear" w:color="auto" w:fill="auto"/>
            <w:noWrap/>
            <w:vAlign w:val="center"/>
          </w:tcPr>
          <w:p w14:paraId="292C3D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690545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14:paraId="699DDF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gridSpan w:val="2"/>
            <w:tcBorders>
              <w:top w:val="nil"/>
              <w:left w:val="nil"/>
              <w:bottom w:val="single" w:color="auto" w:sz="4" w:space="0"/>
              <w:right w:val="single" w:color="auto" w:sz="4" w:space="0"/>
            </w:tcBorders>
            <w:shd w:val="clear" w:color="auto" w:fill="auto"/>
            <w:noWrap/>
            <w:vAlign w:val="center"/>
          </w:tcPr>
          <w:p w14:paraId="0124F5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554842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gridSpan w:val="3"/>
            <w:tcBorders>
              <w:top w:val="nil"/>
              <w:left w:val="nil"/>
              <w:bottom w:val="single" w:color="auto" w:sz="4" w:space="0"/>
              <w:right w:val="single" w:color="auto" w:sz="4" w:space="0"/>
            </w:tcBorders>
            <w:shd w:val="clear" w:color="auto" w:fill="auto"/>
            <w:noWrap/>
            <w:vAlign w:val="center"/>
          </w:tcPr>
          <w:p w14:paraId="022AA1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0C5869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8B5931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01C53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14:paraId="63D452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47" w:type="dxa"/>
            <w:gridSpan w:val="2"/>
            <w:tcBorders>
              <w:top w:val="nil"/>
              <w:left w:val="nil"/>
              <w:bottom w:val="single" w:color="auto" w:sz="4" w:space="0"/>
              <w:right w:val="single" w:color="auto" w:sz="4" w:space="0"/>
            </w:tcBorders>
            <w:shd w:val="clear" w:color="auto" w:fill="auto"/>
            <w:noWrap/>
            <w:vAlign w:val="center"/>
          </w:tcPr>
          <w:p w14:paraId="048EEF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64FDCD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14:paraId="4125AD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gridSpan w:val="2"/>
            <w:tcBorders>
              <w:top w:val="nil"/>
              <w:left w:val="nil"/>
              <w:bottom w:val="single" w:color="auto" w:sz="4" w:space="0"/>
              <w:right w:val="single" w:color="auto" w:sz="4" w:space="0"/>
            </w:tcBorders>
            <w:shd w:val="clear" w:color="auto" w:fill="auto"/>
            <w:noWrap/>
            <w:vAlign w:val="center"/>
          </w:tcPr>
          <w:p w14:paraId="0B01D4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27D328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gridSpan w:val="3"/>
            <w:tcBorders>
              <w:top w:val="nil"/>
              <w:left w:val="nil"/>
              <w:bottom w:val="single" w:color="auto" w:sz="4" w:space="0"/>
              <w:right w:val="single" w:color="auto" w:sz="4" w:space="0"/>
            </w:tcBorders>
            <w:shd w:val="clear" w:color="auto" w:fill="auto"/>
            <w:noWrap/>
            <w:vAlign w:val="center"/>
          </w:tcPr>
          <w:p w14:paraId="16F2A5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8" w:type="dxa"/>
            <w:gridSpan w:val="2"/>
            <w:tcBorders>
              <w:top w:val="nil"/>
              <w:left w:val="nil"/>
              <w:bottom w:val="single" w:color="auto" w:sz="4" w:space="0"/>
              <w:right w:val="single" w:color="auto" w:sz="4" w:space="0"/>
            </w:tcBorders>
            <w:shd w:val="clear" w:color="auto" w:fill="auto"/>
            <w:noWrap/>
            <w:vAlign w:val="center"/>
          </w:tcPr>
          <w:p w14:paraId="1631A2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947612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5CE53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14:paraId="48E3D0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334AA29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886A5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14:paraId="3036BD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gridSpan w:val="2"/>
            <w:tcBorders>
              <w:top w:val="nil"/>
              <w:left w:val="nil"/>
              <w:bottom w:val="single" w:color="auto" w:sz="4" w:space="0"/>
              <w:right w:val="single" w:color="auto" w:sz="4" w:space="0"/>
            </w:tcBorders>
            <w:shd w:val="clear" w:color="auto" w:fill="auto"/>
            <w:noWrap/>
            <w:vAlign w:val="center"/>
          </w:tcPr>
          <w:p w14:paraId="4D341C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479EE0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gridSpan w:val="3"/>
            <w:tcBorders>
              <w:top w:val="nil"/>
              <w:left w:val="nil"/>
              <w:bottom w:val="single" w:color="auto" w:sz="4" w:space="0"/>
              <w:right w:val="single" w:color="auto" w:sz="4" w:space="0"/>
            </w:tcBorders>
            <w:shd w:val="clear" w:color="auto" w:fill="auto"/>
            <w:noWrap/>
            <w:vAlign w:val="center"/>
          </w:tcPr>
          <w:p w14:paraId="71BF0D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22F9E2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26904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C2087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14:paraId="5C8BE0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336EFFEB">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12.5</w:t>
            </w: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5B47D7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14:paraId="518829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0B7E1B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3A3322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gridSpan w:val="3"/>
            <w:tcBorders>
              <w:top w:val="nil"/>
              <w:left w:val="nil"/>
              <w:bottom w:val="single" w:color="auto" w:sz="4" w:space="0"/>
              <w:right w:val="single" w:color="auto" w:sz="4" w:space="0"/>
            </w:tcBorders>
            <w:shd w:val="clear" w:color="auto" w:fill="auto"/>
            <w:noWrap/>
            <w:vAlign w:val="center"/>
          </w:tcPr>
          <w:p w14:paraId="79DA2A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038EA6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9A410B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A39C4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14:paraId="550900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0A1D2F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AD53B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14:paraId="3CAFA2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3393BBC8">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0.11</w:t>
            </w: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234DB8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gridSpan w:val="3"/>
            <w:tcBorders>
              <w:top w:val="nil"/>
              <w:left w:val="nil"/>
              <w:bottom w:val="single" w:color="auto" w:sz="4" w:space="0"/>
              <w:right w:val="single" w:color="auto" w:sz="4" w:space="0"/>
            </w:tcBorders>
            <w:shd w:val="clear" w:color="auto" w:fill="auto"/>
            <w:noWrap/>
            <w:vAlign w:val="center"/>
          </w:tcPr>
          <w:p w14:paraId="14F2F2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8" w:type="dxa"/>
            <w:gridSpan w:val="2"/>
            <w:tcBorders>
              <w:top w:val="nil"/>
              <w:left w:val="nil"/>
              <w:bottom w:val="single" w:color="auto" w:sz="4" w:space="0"/>
              <w:right w:val="single" w:color="auto" w:sz="4" w:space="0"/>
            </w:tcBorders>
            <w:shd w:val="clear" w:color="auto" w:fill="auto"/>
            <w:noWrap/>
            <w:vAlign w:val="center"/>
          </w:tcPr>
          <w:p w14:paraId="514390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10C70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8B321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14:paraId="508D56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2A682D0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6.79</w:t>
            </w:r>
          </w:p>
        </w:tc>
        <w:tc>
          <w:tcPr>
            <w:tcW w:w="1222" w:type="dxa"/>
            <w:tcBorders>
              <w:top w:val="nil"/>
              <w:left w:val="nil"/>
              <w:bottom w:val="single" w:color="auto" w:sz="4" w:space="0"/>
              <w:right w:val="single" w:color="auto" w:sz="4" w:space="0"/>
            </w:tcBorders>
            <w:shd w:val="clear" w:color="auto" w:fill="auto"/>
            <w:noWrap/>
            <w:vAlign w:val="center"/>
          </w:tcPr>
          <w:p w14:paraId="64BF74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14:paraId="2F815E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gridSpan w:val="2"/>
            <w:tcBorders>
              <w:top w:val="nil"/>
              <w:left w:val="nil"/>
              <w:bottom w:val="single" w:color="auto" w:sz="4" w:space="0"/>
              <w:right w:val="single" w:color="auto" w:sz="4" w:space="0"/>
            </w:tcBorders>
            <w:shd w:val="clear" w:color="auto" w:fill="auto"/>
            <w:noWrap/>
            <w:vAlign w:val="center"/>
          </w:tcPr>
          <w:p w14:paraId="6B1785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23597F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gridSpan w:val="3"/>
            <w:tcBorders>
              <w:top w:val="nil"/>
              <w:left w:val="nil"/>
              <w:bottom w:val="single" w:color="auto" w:sz="4" w:space="0"/>
              <w:right w:val="single" w:color="auto" w:sz="4" w:space="0"/>
            </w:tcBorders>
            <w:shd w:val="clear" w:color="auto" w:fill="auto"/>
            <w:noWrap/>
            <w:vAlign w:val="center"/>
          </w:tcPr>
          <w:p w14:paraId="1302A8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8" w:type="dxa"/>
            <w:gridSpan w:val="2"/>
            <w:tcBorders>
              <w:top w:val="nil"/>
              <w:left w:val="nil"/>
              <w:bottom w:val="single" w:color="auto" w:sz="4" w:space="0"/>
              <w:right w:val="single" w:color="auto" w:sz="4" w:space="0"/>
            </w:tcBorders>
            <w:shd w:val="clear" w:color="auto" w:fill="auto"/>
            <w:noWrap/>
            <w:vAlign w:val="center"/>
          </w:tcPr>
          <w:p w14:paraId="2F0FFE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07C418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120B2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14:paraId="660D24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16FBCB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A5E98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14:paraId="6FBB03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gridSpan w:val="2"/>
            <w:tcBorders>
              <w:top w:val="nil"/>
              <w:left w:val="nil"/>
              <w:bottom w:val="single" w:color="auto" w:sz="4" w:space="0"/>
              <w:right w:val="single" w:color="auto" w:sz="4" w:space="0"/>
            </w:tcBorders>
            <w:shd w:val="clear" w:color="auto" w:fill="auto"/>
            <w:noWrap/>
            <w:vAlign w:val="center"/>
          </w:tcPr>
          <w:p w14:paraId="4E6547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55593E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gridSpan w:val="3"/>
            <w:tcBorders>
              <w:top w:val="nil"/>
              <w:left w:val="nil"/>
              <w:bottom w:val="single" w:color="auto" w:sz="4" w:space="0"/>
              <w:right w:val="single" w:color="auto" w:sz="4" w:space="0"/>
            </w:tcBorders>
            <w:shd w:val="clear" w:color="auto" w:fill="auto"/>
            <w:noWrap/>
            <w:vAlign w:val="center"/>
          </w:tcPr>
          <w:p w14:paraId="7CED69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8" w:type="dxa"/>
            <w:gridSpan w:val="2"/>
            <w:tcBorders>
              <w:top w:val="nil"/>
              <w:left w:val="nil"/>
              <w:bottom w:val="single" w:color="auto" w:sz="4" w:space="0"/>
              <w:right w:val="single" w:color="auto" w:sz="4" w:space="0"/>
            </w:tcBorders>
            <w:shd w:val="clear" w:color="auto" w:fill="auto"/>
            <w:noWrap/>
            <w:vAlign w:val="center"/>
          </w:tcPr>
          <w:p w14:paraId="4E7C61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4B5DC9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AB531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14:paraId="28CBF1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6EC1DBF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0.9</w:t>
            </w:r>
          </w:p>
        </w:tc>
        <w:tc>
          <w:tcPr>
            <w:tcW w:w="1222" w:type="dxa"/>
            <w:tcBorders>
              <w:top w:val="nil"/>
              <w:left w:val="nil"/>
              <w:bottom w:val="single" w:color="auto" w:sz="4" w:space="0"/>
              <w:right w:val="single" w:color="auto" w:sz="4" w:space="0"/>
            </w:tcBorders>
            <w:shd w:val="clear" w:color="auto" w:fill="auto"/>
            <w:noWrap/>
            <w:vAlign w:val="center"/>
          </w:tcPr>
          <w:p w14:paraId="565156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14:paraId="77CF6A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gridSpan w:val="2"/>
            <w:tcBorders>
              <w:top w:val="nil"/>
              <w:left w:val="nil"/>
              <w:bottom w:val="single" w:color="auto" w:sz="4" w:space="0"/>
              <w:right w:val="single" w:color="auto" w:sz="4" w:space="0"/>
            </w:tcBorders>
            <w:shd w:val="clear" w:color="auto" w:fill="auto"/>
            <w:noWrap/>
            <w:vAlign w:val="center"/>
          </w:tcPr>
          <w:p w14:paraId="69BA43C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1.96</w:t>
            </w:r>
          </w:p>
        </w:tc>
        <w:tc>
          <w:tcPr>
            <w:tcW w:w="1223" w:type="dxa"/>
            <w:tcBorders>
              <w:top w:val="nil"/>
              <w:left w:val="nil"/>
              <w:bottom w:val="single" w:color="auto" w:sz="4" w:space="0"/>
              <w:right w:val="single" w:color="auto" w:sz="4" w:space="0"/>
            </w:tcBorders>
            <w:shd w:val="clear" w:color="auto" w:fill="auto"/>
            <w:noWrap/>
            <w:vAlign w:val="center"/>
          </w:tcPr>
          <w:p w14:paraId="2E1921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gridSpan w:val="3"/>
            <w:tcBorders>
              <w:top w:val="nil"/>
              <w:left w:val="nil"/>
              <w:bottom w:val="single" w:color="auto" w:sz="4" w:space="0"/>
              <w:right w:val="single" w:color="auto" w:sz="4" w:space="0"/>
            </w:tcBorders>
            <w:shd w:val="clear" w:color="auto" w:fill="auto"/>
            <w:noWrap/>
            <w:vAlign w:val="center"/>
          </w:tcPr>
          <w:p w14:paraId="435E43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8" w:type="dxa"/>
            <w:gridSpan w:val="2"/>
            <w:tcBorders>
              <w:top w:val="nil"/>
              <w:left w:val="nil"/>
              <w:bottom w:val="single" w:color="auto" w:sz="4" w:space="0"/>
              <w:right w:val="single" w:color="auto" w:sz="4" w:space="0"/>
            </w:tcBorders>
            <w:shd w:val="clear" w:color="auto" w:fill="auto"/>
            <w:noWrap/>
            <w:vAlign w:val="center"/>
          </w:tcPr>
          <w:p w14:paraId="6330C6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31FE39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280AD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14:paraId="0DD6A7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47" w:type="dxa"/>
            <w:gridSpan w:val="2"/>
            <w:tcBorders>
              <w:top w:val="nil"/>
              <w:left w:val="nil"/>
              <w:bottom w:val="single" w:color="auto" w:sz="4" w:space="0"/>
              <w:right w:val="single" w:color="auto" w:sz="4" w:space="0"/>
            </w:tcBorders>
            <w:shd w:val="clear" w:color="auto" w:fill="auto"/>
            <w:noWrap/>
            <w:vAlign w:val="center"/>
          </w:tcPr>
          <w:p w14:paraId="3306DE0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8.28.28.088.088.088.08</w:t>
            </w:r>
          </w:p>
        </w:tc>
        <w:tc>
          <w:tcPr>
            <w:tcW w:w="1222" w:type="dxa"/>
            <w:tcBorders>
              <w:top w:val="nil"/>
              <w:left w:val="nil"/>
              <w:bottom w:val="single" w:color="auto" w:sz="4" w:space="0"/>
              <w:right w:val="single" w:color="auto" w:sz="4" w:space="0"/>
            </w:tcBorders>
            <w:shd w:val="clear" w:color="auto" w:fill="auto"/>
            <w:noWrap/>
            <w:vAlign w:val="center"/>
          </w:tcPr>
          <w:p w14:paraId="4CF9B3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14:paraId="619665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17927D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59A73F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gridSpan w:val="3"/>
            <w:tcBorders>
              <w:top w:val="nil"/>
              <w:left w:val="nil"/>
              <w:bottom w:val="single" w:color="auto" w:sz="4" w:space="0"/>
              <w:right w:val="single" w:color="auto" w:sz="4" w:space="0"/>
            </w:tcBorders>
            <w:shd w:val="clear" w:color="auto" w:fill="auto"/>
            <w:noWrap/>
            <w:vAlign w:val="center"/>
          </w:tcPr>
          <w:p w14:paraId="0FE2E1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6DC589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D80AE8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CD37E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14:paraId="08FE37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47" w:type="dxa"/>
            <w:gridSpan w:val="2"/>
            <w:tcBorders>
              <w:top w:val="nil"/>
              <w:left w:val="nil"/>
              <w:bottom w:val="single" w:color="auto" w:sz="4" w:space="0"/>
              <w:right w:val="single" w:color="auto" w:sz="4" w:space="0"/>
            </w:tcBorders>
            <w:shd w:val="clear" w:color="auto" w:fill="auto"/>
            <w:noWrap/>
            <w:vAlign w:val="center"/>
          </w:tcPr>
          <w:p w14:paraId="3D34FB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20BD7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14:paraId="1AE8EF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75BBB8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F0ED6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gridSpan w:val="3"/>
            <w:tcBorders>
              <w:top w:val="nil"/>
              <w:left w:val="nil"/>
              <w:bottom w:val="single" w:color="auto" w:sz="4" w:space="0"/>
              <w:right w:val="single" w:color="auto" w:sz="4" w:space="0"/>
            </w:tcBorders>
            <w:shd w:val="clear" w:color="auto" w:fill="auto"/>
            <w:noWrap/>
            <w:vAlign w:val="center"/>
          </w:tcPr>
          <w:p w14:paraId="7C2436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8" w:type="dxa"/>
            <w:gridSpan w:val="2"/>
            <w:tcBorders>
              <w:top w:val="nil"/>
              <w:left w:val="nil"/>
              <w:bottom w:val="single" w:color="auto" w:sz="4" w:space="0"/>
              <w:right w:val="single" w:color="auto" w:sz="4" w:space="0"/>
            </w:tcBorders>
            <w:shd w:val="clear" w:color="auto" w:fill="auto"/>
            <w:noWrap/>
            <w:vAlign w:val="center"/>
          </w:tcPr>
          <w:p w14:paraId="6CA470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11E2C4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157B2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14:paraId="342147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7EC4D1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D4FEB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14:paraId="42C736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gridSpan w:val="2"/>
            <w:tcBorders>
              <w:top w:val="nil"/>
              <w:left w:val="nil"/>
              <w:bottom w:val="single" w:color="auto" w:sz="4" w:space="0"/>
              <w:right w:val="single" w:color="auto" w:sz="4" w:space="0"/>
            </w:tcBorders>
            <w:shd w:val="clear" w:color="auto" w:fill="auto"/>
            <w:noWrap/>
            <w:vAlign w:val="center"/>
          </w:tcPr>
          <w:p w14:paraId="4EFD2A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033EB3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gridSpan w:val="3"/>
            <w:tcBorders>
              <w:top w:val="nil"/>
              <w:left w:val="nil"/>
              <w:bottom w:val="single" w:color="auto" w:sz="4" w:space="0"/>
              <w:right w:val="single" w:color="auto" w:sz="4" w:space="0"/>
            </w:tcBorders>
            <w:shd w:val="clear" w:color="auto" w:fill="auto"/>
            <w:noWrap/>
            <w:vAlign w:val="center"/>
          </w:tcPr>
          <w:p w14:paraId="71E22B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155368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D4788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4330C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14:paraId="7136D1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61B639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6078C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14:paraId="3AECDD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gridSpan w:val="2"/>
            <w:tcBorders>
              <w:top w:val="nil"/>
              <w:left w:val="nil"/>
              <w:bottom w:val="single" w:color="auto" w:sz="4" w:space="0"/>
              <w:right w:val="single" w:color="auto" w:sz="4" w:space="0"/>
            </w:tcBorders>
            <w:shd w:val="clear" w:color="auto" w:fill="auto"/>
            <w:noWrap/>
            <w:vAlign w:val="center"/>
          </w:tcPr>
          <w:p w14:paraId="4903A9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0883CA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gridSpan w:val="3"/>
            <w:tcBorders>
              <w:top w:val="nil"/>
              <w:left w:val="nil"/>
              <w:bottom w:val="single" w:color="auto" w:sz="4" w:space="0"/>
              <w:right w:val="single" w:color="auto" w:sz="4" w:space="0"/>
            </w:tcBorders>
            <w:shd w:val="clear" w:color="auto" w:fill="auto"/>
            <w:noWrap/>
            <w:vAlign w:val="center"/>
          </w:tcPr>
          <w:p w14:paraId="37382E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31AE58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72BE2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BAB03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14:paraId="2BC41F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29FA43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59A7D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14:paraId="7D0AB2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gridSpan w:val="2"/>
            <w:tcBorders>
              <w:top w:val="nil"/>
              <w:left w:val="nil"/>
              <w:bottom w:val="single" w:color="auto" w:sz="4" w:space="0"/>
              <w:right w:val="single" w:color="auto" w:sz="4" w:space="0"/>
            </w:tcBorders>
            <w:shd w:val="clear" w:color="auto" w:fill="auto"/>
            <w:noWrap/>
            <w:vAlign w:val="center"/>
          </w:tcPr>
          <w:p w14:paraId="41C1EE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FA6D7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gridSpan w:val="3"/>
            <w:tcBorders>
              <w:top w:val="nil"/>
              <w:left w:val="nil"/>
              <w:bottom w:val="single" w:color="auto" w:sz="4" w:space="0"/>
              <w:right w:val="single" w:color="auto" w:sz="4" w:space="0"/>
            </w:tcBorders>
            <w:shd w:val="clear" w:color="auto" w:fill="auto"/>
            <w:noWrap/>
            <w:vAlign w:val="center"/>
          </w:tcPr>
          <w:p w14:paraId="2F37CA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5E82A8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6930A8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E0C70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14:paraId="24276F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7DD54A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63757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14:paraId="44228C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gridSpan w:val="2"/>
            <w:tcBorders>
              <w:top w:val="nil"/>
              <w:left w:val="nil"/>
              <w:bottom w:val="single" w:color="auto" w:sz="4" w:space="0"/>
              <w:right w:val="single" w:color="auto" w:sz="4" w:space="0"/>
            </w:tcBorders>
            <w:shd w:val="clear" w:color="auto" w:fill="auto"/>
            <w:noWrap/>
            <w:vAlign w:val="center"/>
          </w:tcPr>
          <w:p w14:paraId="4C54FE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62DD0C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gridSpan w:val="3"/>
            <w:tcBorders>
              <w:top w:val="nil"/>
              <w:left w:val="nil"/>
              <w:bottom w:val="single" w:color="auto" w:sz="4" w:space="0"/>
              <w:right w:val="single" w:color="auto" w:sz="4" w:space="0"/>
            </w:tcBorders>
            <w:shd w:val="clear" w:color="auto" w:fill="auto"/>
            <w:noWrap/>
            <w:vAlign w:val="center"/>
          </w:tcPr>
          <w:p w14:paraId="52B00D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1A74A7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BBA115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CE335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14:paraId="1665F0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47" w:type="dxa"/>
            <w:gridSpan w:val="2"/>
            <w:tcBorders>
              <w:top w:val="nil"/>
              <w:left w:val="nil"/>
              <w:bottom w:val="single" w:color="auto" w:sz="4" w:space="0"/>
              <w:right w:val="single" w:color="auto" w:sz="4" w:space="0"/>
            </w:tcBorders>
            <w:shd w:val="clear" w:color="auto" w:fill="auto"/>
            <w:noWrap/>
            <w:vAlign w:val="center"/>
          </w:tcPr>
          <w:p w14:paraId="383C4F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56396B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14:paraId="63C34D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409006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2BF844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gridSpan w:val="3"/>
            <w:tcBorders>
              <w:top w:val="nil"/>
              <w:left w:val="nil"/>
              <w:bottom w:val="single" w:color="auto" w:sz="4" w:space="0"/>
              <w:right w:val="single" w:color="auto" w:sz="4" w:space="0"/>
            </w:tcBorders>
            <w:shd w:val="clear" w:color="auto" w:fill="auto"/>
            <w:noWrap/>
            <w:vAlign w:val="center"/>
          </w:tcPr>
          <w:p w14:paraId="2BBA86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35D8AC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6989F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3C379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14:paraId="3C10A9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47" w:type="dxa"/>
            <w:gridSpan w:val="2"/>
            <w:tcBorders>
              <w:top w:val="nil"/>
              <w:left w:val="nil"/>
              <w:bottom w:val="single" w:color="auto" w:sz="4" w:space="0"/>
              <w:right w:val="single" w:color="auto" w:sz="4" w:space="0"/>
            </w:tcBorders>
            <w:shd w:val="clear" w:color="auto" w:fill="auto"/>
            <w:noWrap/>
            <w:vAlign w:val="center"/>
          </w:tcPr>
          <w:p w14:paraId="7A7F5B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F7F47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14:paraId="37EA1E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gridSpan w:val="2"/>
            <w:tcBorders>
              <w:top w:val="nil"/>
              <w:left w:val="nil"/>
              <w:bottom w:val="single" w:color="auto" w:sz="4" w:space="0"/>
              <w:right w:val="single" w:color="auto" w:sz="4" w:space="0"/>
            </w:tcBorders>
            <w:shd w:val="clear" w:color="auto" w:fill="auto"/>
            <w:noWrap/>
            <w:vAlign w:val="center"/>
          </w:tcPr>
          <w:p w14:paraId="3F0F42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4F86B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gridSpan w:val="3"/>
            <w:tcBorders>
              <w:top w:val="nil"/>
              <w:left w:val="nil"/>
              <w:bottom w:val="single" w:color="auto" w:sz="4" w:space="0"/>
              <w:right w:val="single" w:color="auto" w:sz="4" w:space="0"/>
            </w:tcBorders>
            <w:shd w:val="clear" w:color="auto" w:fill="auto"/>
            <w:noWrap/>
            <w:vAlign w:val="center"/>
          </w:tcPr>
          <w:p w14:paraId="4CC004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1A3216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EC0DBC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8E5B2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14:paraId="5C1C23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1EDE38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76A62A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14:paraId="4C23E7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3D7B0C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A7E0B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gridSpan w:val="3"/>
            <w:tcBorders>
              <w:top w:val="nil"/>
              <w:left w:val="nil"/>
              <w:bottom w:val="single" w:color="auto" w:sz="4" w:space="0"/>
              <w:right w:val="single" w:color="auto" w:sz="4" w:space="0"/>
            </w:tcBorders>
            <w:shd w:val="clear" w:color="auto" w:fill="auto"/>
            <w:noWrap/>
            <w:vAlign w:val="center"/>
          </w:tcPr>
          <w:p w14:paraId="4D23BF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593E2D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25225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DEAC3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14:paraId="7F990B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47" w:type="dxa"/>
            <w:gridSpan w:val="2"/>
            <w:tcBorders>
              <w:top w:val="nil"/>
              <w:left w:val="nil"/>
              <w:bottom w:val="single" w:color="auto" w:sz="4" w:space="0"/>
              <w:right w:val="single" w:color="auto" w:sz="4" w:space="0"/>
            </w:tcBorders>
            <w:shd w:val="clear" w:color="auto" w:fill="auto"/>
            <w:noWrap/>
            <w:vAlign w:val="center"/>
          </w:tcPr>
          <w:p w14:paraId="60A99C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CB645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14:paraId="0F30BD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3BA484D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1.18</w:t>
            </w:r>
          </w:p>
        </w:tc>
        <w:tc>
          <w:tcPr>
            <w:tcW w:w="1223" w:type="dxa"/>
            <w:tcBorders>
              <w:top w:val="nil"/>
              <w:left w:val="nil"/>
              <w:bottom w:val="single" w:color="auto" w:sz="4" w:space="0"/>
              <w:right w:val="single" w:color="auto" w:sz="4" w:space="0"/>
            </w:tcBorders>
            <w:shd w:val="clear" w:color="auto" w:fill="auto"/>
            <w:noWrap/>
            <w:vAlign w:val="center"/>
          </w:tcPr>
          <w:p w14:paraId="42243F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gridSpan w:val="3"/>
            <w:tcBorders>
              <w:top w:val="nil"/>
              <w:left w:val="nil"/>
              <w:bottom w:val="single" w:color="auto" w:sz="4" w:space="0"/>
              <w:right w:val="single" w:color="auto" w:sz="4" w:space="0"/>
            </w:tcBorders>
            <w:shd w:val="clear" w:color="auto" w:fill="auto"/>
            <w:noWrap/>
            <w:vAlign w:val="center"/>
          </w:tcPr>
          <w:p w14:paraId="6AE9F3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30D63F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C7D32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5D413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14:paraId="2EE1CC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6A0C00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569889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14:paraId="2F4DC5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3CEEAD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6508632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06" w:type="dxa"/>
            <w:gridSpan w:val="3"/>
            <w:tcBorders>
              <w:top w:val="nil"/>
              <w:left w:val="nil"/>
              <w:bottom w:val="single" w:color="auto" w:sz="4" w:space="0"/>
              <w:right w:val="single" w:color="auto" w:sz="4" w:space="0"/>
            </w:tcBorders>
            <w:shd w:val="clear" w:color="auto" w:fill="auto"/>
            <w:noWrap/>
            <w:vAlign w:val="center"/>
          </w:tcPr>
          <w:p w14:paraId="4FAEB80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2B8C11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9F063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2937F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14:paraId="3CA7D5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47" w:type="dxa"/>
            <w:gridSpan w:val="2"/>
            <w:tcBorders>
              <w:top w:val="nil"/>
              <w:left w:val="nil"/>
              <w:bottom w:val="single" w:color="auto" w:sz="4" w:space="0"/>
              <w:right w:val="single" w:color="auto" w:sz="4" w:space="0"/>
            </w:tcBorders>
            <w:shd w:val="clear" w:color="auto" w:fill="auto"/>
            <w:noWrap/>
            <w:vAlign w:val="center"/>
          </w:tcPr>
          <w:p w14:paraId="292BAE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4F883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14:paraId="29BA5D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gridSpan w:val="2"/>
            <w:tcBorders>
              <w:top w:val="nil"/>
              <w:left w:val="nil"/>
              <w:bottom w:val="single" w:color="auto" w:sz="4" w:space="0"/>
              <w:right w:val="single" w:color="auto" w:sz="4" w:space="0"/>
            </w:tcBorders>
            <w:shd w:val="clear" w:color="auto" w:fill="auto"/>
            <w:noWrap/>
            <w:vAlign w:val="center"/>
          </w:tcPr>
          <w:p w14:paraId="28C1F24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8.09</w:t>
            </w:r>
          </w:p>
        </w:tc>
        <w:tc>
          <w:tcPr>
            <w:tcW w:w="1223" w:type="dxa"/>
            <w:tcBorders>
              <w:top w:val="nil"/>
              <w:left w:val="nil"/>
              <w:bottom w:val="single" w:color="auto" w:sz="4" w:space="0"/>
              <w:right w:val="single" w:color="auto" w:sz="4" w:space="0"/>
            </w:tcBorders>
            <w:shd w:val="clear" w:color="auto" w:fill="auto"/>
            <w:noWrap/>
            <w:vAlign w:val="center"/>
          </w:tcPr>
          <w:p w14:paraId="6844504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06" w:type="dxa"/>
            <w:gridSpan w:val="3"/>
            <w:tcBorders>
              <w:top w:val="nil"/>
              <w:left w:val="nil"/>
              <w:bottom w:val="single" w:color="auto" w:sz="4" w:space="0"/>
              <w:right w:val="single" w:color="auto" w:sz="4" w:space="0"/>
            </w:tcBorders>
            <w:shd w:val="clear" w:color="auto" w:fill="auto"/>
            <w:noWrap/>
            <w:vAlign w:val="center"/>
          </w:tcPr>
          <w:p w14:paraId="615D4A6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48" w:type="dxa"/>
            <w:gridSpan w:val="2"/>
            <w:tcBorders>
              <w:top w:val="nil"/>
              <w:left w:val="nil"/>
              <w:bottom w:val="single" w:color="auto" w:sz="4" w:space="0"/>
              <w:right w:val="single" w:color="auto" w:sz="4" w:space="0"/>
            </w:tcBorders>
            <w:shd w:val="clear" w:color="auto" w:fill="auto"/>
            <w:noWrap/>
            <w:vAlign w:val="center"/>
          </w:tcPr>
          <w:p w14:paraId="10E7EF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82D567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FBC36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14:paraId="4E0BF8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47" w:type="dxa"/>
            <w:gridSpan w:val="2"/>
            <w:tcBorders>
              <w:top w:val="nil"/>
              <w:left w:val="nil"/>
              <w:bottom w:val="single" w:color="auto" w:sz="4" w:space="0"/>
              <w:right w:val="single" w:color="auto" w:sz="4" w:space="0"/>
            </w:tcBorders>
            <w:shd w:val="clear" w:color="auto" w:fill="auto"/>
            <w:noWrap/>
            <w:vAlign w:val="center"/>
          </w:tcPr>
          <w:p w14:paraId="312D84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584E70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14:paraId="1EA745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gridSpan w:val="2"/>
            <w:tcBorders>
              <w:top w:val="nil"/>
              <w:left w:val="nil"/>
              <w:bottom w:val="single" w:color="auto" w:sz="4" w:space="0"/>
              <w:right w:val="single" w:color="auto" w:sz="4" w:space="0"/>
            </w:tcBorders>
            <w:shd w:val="clear" w:color="auto" w:fill="auto"/>
            <w:noWrap/>
            <w:vAlign w:val="center"/>
          </w:tcPr>
          <w:p w14:paraId="42ED77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0C6B05BD">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06" w:type="dxa"/>
            <w:gridSpan w:val="3"/>
            <w:tcBorders>
              <w:top w:val="nil"/>
              <w:left w:val="nil"/>
              <w:bottom w:val="single" w:color="auto" w:sz="4" w:space="0"/>
              <w:right w:val="single" w:color="auto" w:sz="4" w:space="0"/>
            </w:tcBorders>
            <w:shd w:val="clear" w:color="auto" w:fill="auto"/>
            <w:noWrap/>
            <w:vAlign w:val="center"/>
          </w:tcPr>
          <w:p w14:paraId="3044871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4A0C96F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0EF78DED">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79E4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21C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5C6C0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82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7C45C0EF">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12195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E35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36B5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71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63DD43C8">
            <w:pPr>
              <w:widowControl/>
              <w:jc w:val="left"/>
              <w:rPr>
                <w:rFonts w:ascii="宋体" w:hAnsi="宋体" w:eastAsia="宋体" w:cs="宋体"/>
                <w:color w:val="000000"/>
                <w:kern w:val="0"/>
                <w:szCs w:val="20"/>
              </w:rPr>
            </w:pPr>
          </w:p>
        </w:tc>
        <w:tc>
          <w:tcPr>
            <w:tcW w:w="648" w:type="dxa"/>
            <w:gridSpan w:val="2"/>
            <w:tcBorders>
              <w:top w:val="nil"/>
              <w:left w:val="nil"/>
              <w:bottom w:val="single" w:color="auto" w:sz="4" w:space="0"/>
              <w:right w:val="single" w:color="auto" w:sz="4" w:space="0"/>
            </w:tcBorders>
            <w:shd w:val="clear" w:color="auto" w:fill="auto"/>
            <w:noWrap/>
            <w:vAlign w:val="center"/>
          </w:tcPr>
          <w:p w14:paraId="5C15B0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AE34DD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04393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14:paraId="19655E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3328A7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23B58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14:paraId="68091F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16BCC6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08BFFF3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06" w:type="dxa"/>
            <w:gridSpan w:val="3"/>
            <w:tcBorders>
              <w:top w:val="nil"/>
              <w:left w:val="nil"/>
              <w:bottom w:val="single" w:color="auto" w:sz="4" w:space="0"/>
              <w:right w:val="single" w:color="auto" w:sz="4" w:space="0"/>
            </w:tcBorders>
            <w:shd w:val="clear" w:color="auto" w:fill="auto"/>
            <w:noWrap/>
            <w:vAlign w:val="center"/>
          </w:tcPr>
          <w:p w14:paraId="24AAD97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48" w:type="dxa"/>
            <w:gridSpan w:val="2"/>
            <w:tcBorders>
              <w:top w:val="nil"/>
              <w:left w:val="nil"/>
              <w:bottom w:val="single" w:color="auto" w:sz="4" w:space="0"/>
              <w:right w:val="single" w:color="auto" w:sz="4" w:space="0"/>
            </w:tcBorders>
            <w:shd w:val="clear" w:color="auto" w:fill="auto"/>
            <w:noWrap/>
            <w:vAlign w:val="center"/>
          </w:tcPr>
          <w:p w14:paraId="7CABF7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525E8E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B7635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14:paraId="4B1BF4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47" w:type="dxa"/>
            <w:gridSpan w:val="2"/>
            <w:tcBorders>
              <w:top w:val="nil"/>
              <w:left w:val="nil"/>
              <w:bottom w:val="single" w:color="auto" w:sz="4" w:space="0"/>
              <w:right w:val="single" w:color="auto" w:sz="4" w:space="0"/>
            </w:tcBorders>
            <w:shd w:val="clear" w:color="auto" w:fill="auto"/>
            <w:noWrap/>
            <w:vAlign w:val="center"/>
          </w:tcPr>
          <w:p w14:paraId="66B87F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17543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14:paraId="6CEE15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0993CB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3074FA8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06" w:type="dxa"/>
            <w:gridSpan w:val="3"/>
            <w:tcBorders>
              <w:top w:val="nil"/>
              <w:left w:val="nil"/>
              <w:bottom w:val="single" w:color="auto" w:sz="4" w:space="0"/>
              <w:right w:val="single" w:color="auto" w:sz="4" w:space="0"/>
            </w:tcBorders>
            <w:shd w:val="clear" w:color="auto" w:fill="auto"/>
            <w:noWrap/>
            <w:vAlign w:val="center"/>
          </w:tcPr>
          <w:p w14:paraId="6AB8B50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390E9B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40E18F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EED99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14:paraId="47B736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67EE89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7045E2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14:paraId="61D87D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363754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533BECE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351BC99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111318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11CDB3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B07BC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14:paraId="7DC320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7" w:type="dxa"/>
            <w:gridSpan w:val="2"/>
            <w:tcBorders>
              <w:top w:val="nil"/>
              <w:left w:val="nil"/>
              <w:bottom w:val="single" w:color="auto" w:sz="4" w:space="0"/>
              <w:right w:val="single" w:color="auto" w:sz="4" w:space="0"/>
            </w:tcBorders>
            <w:shd w:val="clear" w:color="auto" w:fill="auto"/>
            <w:noWrap/>
            <w:vAlign w:val="center"/>
          </w:tcPr>
          <w:p w14:paraId="125CC9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D4CFF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14:paraId="3BBE19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13B96F0F">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w:t>
            </w:r>
          </w:p>
        </w:tc>
        <w:tc>
          <w:tcPr>
            <w:tcW w:w="1223" w:type="dxa"/>
            <w:tcBorders>
              <w:top w:val="nil"/>
              <w:left w:val="nil"/>
              <w:bottom w:val="single" w:color="auto" w:sz="4" w:space="0"/>
              <w:right w:val="single" w:color="auto" w:sz="4" w:space="0"/>
            </w:tcBorders>
            <w:shd w:val="clear" w:color="auto" w:fill="auto"/>
            <w:noWrap/>
            <w:vAlign w:val="center"/>
          </w:tcPr>
          <w:p w14:paraId="5FB3905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550B8FA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7A117D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E142D77">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979CA4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47" w:type="dxa"/>
            <w:gridSpan w:val="2"/>
            <w:tcBorders>
              <w:top w:val="nil"/>
              <w:left w:val="nil"/>
              <w:bottom w:val="single" w:color="auto" w:sz="4" w:space="0"/>
              <w:right w:val="single" w:color="auto" w:sz="4" w:space="0"/>
            </w:tcBorders>
            <w:shd w:val="clear" w:color="auto" w:fill="auto"/>
            <w:noWrap/>
            <w:vAlign w:val="center"/>
          </w:tcPr>
          <w:p w14:paraId="6386E9F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102.62</w:t>
            </w:r>
          </w:p>
        </w:tc>
        <w:tc>
          <w:tcPr>
            <w:tcW w:w="9615" w:type="dxa"/>
            <w:gridSpan w:val="9"/>
            <w:tcBorders>
              <w:top w:val="single" w:color="auto" w:sz="4" w:space="0"/>
              <w:left w:val="nil"/>
              <w:bottom w:val="single" w:color="auto" w:sz="4" w:space="0"/>
              <w:right w:val="single" w:color="auto" w:sz="4" w:space="0"/>
            </w:tcBorders>
            <w:shd w:val="clear" w:color="auto" w:fill="auto"/>
            <w:noWrap/>
            <w:vAlign w:val="center"/>
          </w:tcPr>
          <w:p w14:paraId="2E7F5546">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公用经费合计</w:t>
            </w:r>
            <w:r>
              <w:rPr>
                <w:rFonts w:hint="eastAsia" w:ascii="宋体" w:hAnsi="宋体" w:eastAsia="宋体" w:cs="宋体"/>
                <w:color w:val="000000"/>
                <w:kern w:val="0"/>
                <w:szCs w:val="20"/>
                <w:lang w:val="en-US" w:eastAsia="zh-CN"/>
              </w:rPr>
              <w:t>0.47</w:t>
            </w:r>
          </w:p>
        </w:tc>
        <w:tc>
          <w:tcPr>
            <w:tcW w:w="648" w:type="dxa"/>
            <w:gridSpan w:val="2"/>
            <w:tcBorders>
              <w:top w:val="nil"/>
              <w:left w:val="nil"/>
              <w:bottom w:val="single" w:color="auto" w:sz="4" w:space="0"/>
              <w:right w:val="single" w:color="auto" w:sz="4" w:space="0"/>
            </w:tcBorders>
            <w:shd w:val="clear" w:color="auto" w:fill="auto"/>
            <w:noWrap/>
            <w:vAlign w:val="center"/>
          </w:tcPr>
          <w:p w14:paraId="41A69E3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r>
      <w:tr w14:paraId="25D81E30">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02D083A8">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42BB1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41CC0D34">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99CDFC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10F8B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317C0389">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2118A46C">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20208E21">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54D38BF7">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7A9DEFA4">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A2DACA3">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5EA636E8">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0046C275">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0310C1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55755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7971463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0A32AA41">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5EE0F722">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35BE95D">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583D3AB">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2D71D1B2">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7949B089">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6C6424C7">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1D520FA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6B1C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32AF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33E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037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893A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9C0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37561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0D2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BF7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A5A8D">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32FEC">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A2A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9D7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4C2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DD45C">
            <w:pPr>
              <w:jc w:val="center"/>
              <w:rPr>
                <w:rFonts w:hint="eastAsia" w:ascii="宋体" w:hAnsi="宋体" w:eastAsia="宋体" w:cs="宋体"/>
                <w:i w:val="0"/>
                <w:color w:val="000000"/>
                <w:sz w:val="24"/>
                <w:szCs w:val="24"/>
                <w:u w:val="none"/>
              </w:rPr>
            </w:pPr>
          </w:p>
        </w:tc>
      </w:tr>
      <w:tr w14:paraId="6718A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117A7">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B3947">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CC72A">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AE2F7">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56CAD">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F13CA">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7808">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53223">
            <w:pPr>
              <w:jc w:val="center"/>
              <w:rPr>
                <w:rFonts w:hint="eastAsia" w:ascii="宋体" w:hAnsi="宋体" w:eastAsia="宋体" w:cs="宋体"/>
                <w:i w:val="0"/>
                <w:color w:val="000000"/>
                <w:sz w:val="24"/>
                <w:szCs w:val="24"/>
                <w:u w:val="none"/>
              </w:rPr>
            </w:pPr>
          </w:p>
        </w:tc>
      </w:tr>
      <w:tr w14:paraId="3184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AB281">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79F70">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9898B">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72D99">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9766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9C68E">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C34B0">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2FD4C">
            <w:pPr>
              <w:jc w:val="center"/>
              <w:rPr>
                <w:rFonts w:hint="eastAsia" w:ascii="宋体" w:hAnsi="宋体" w:eastAsia="宋体" w:cs="宋体"/>
                <w:i w:val="0"/>
                <w:color w:val="000000"/>
                <w:sz w:val="24"/>
                <w:szCs w:val="24"/>
                <w:u w:val="none"/>
              </w:rPr>
            </w:pPr>
          </w:p>
        </w:tc>
      </w:tr>
      <w:tr w14:paraId="04BEF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4224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B39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126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4FD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76B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D6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788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4B6C4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598C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D3D46">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11EAE">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F7C5C">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201D8C">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70A6">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E2EC2">
            <w:pPr>
              <w:jc w:val="center"/>
              <w:rPr>
                <w:rFonts w:hint="eastAsia" w:ascii="宋体" w:hAnsi="宋体" w:eastAsia="宋体" w:cs="宋体"/>
                <w:i w:val="0"/>
                <w:color w:val="000000"/>
                <w:sz w:val="24"/>
                <w:szCs w:val="24"/>
                <w:u w:val="none"/>
              </w:rPr>
            </w:pPr>
          </w:p>
        </w:tc>
      </w:tr>
      <w:tr w14:paraId="08BA7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F45D7">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21216">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2B68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4082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7AA0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53A1B">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4B30">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E098B">
            <w:pPr>
              <w:rPr>
                <w:rFonts w:hint="eastAsia" w:ascii="宋体" w:hAnsi="宋体" w:eastAsia="宋体" w:cs="宋体"/>
                <w:i w:val="0"/>
                <w:color w:val="000000"/>
                <w:sz w:val="24"/>
                <w:szCs w:val="24"/>
                <w:u w:val="none"/>
              </w:rPr>
            </w:pPr>
          </w:p>
        </w:tc>
      </w:tr>
      <w:tr w14:paraId="5BCD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0EB25">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6DE6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3982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FCC4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3184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AED27">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CB58">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07874">
            <w:pPr>
              <w:rPr>
                <w:rFonts w:hint="eastAsia" w:ascii="宋体" w:hAnsi="宋体" w:eastAsia="宋体" w:cs="宋体"/>
                <w:i w:val="0"/>
                <w:color w:val="000000"/>
                <w:sz w:val="24"/>
                <w:szCs w:val="24"/>
                <w:u w:val="none"/>
              </w:rPr>
            </w:pPr>
          </w:p>
        </w:tc>
      </w:tr>
      <w:tr w14:paraId="1AF8B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06156">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64610">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2A79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9549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F7E2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B40C7">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141B">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481C6">
            <w:pPr>
              <w:rPr>
                <w:rFonts w:hint="eastAsia" w:ascii="宋体" w:hAnsi="宋体" w:eastAsia="宋体" w:cs="宋体"/>
                <w:i w:val="0"/>
                <w:color w:val="000000"/>
                <w:sz w:val="24"/>
                <w:szCs w:val="24"/>
                <w:u w:val="none"/>
              </w:rPr>
            </w:pPr>
          </w:p>
        </w:tc>
      </w:tr>
      <w:tr w14:paraId="7A1C0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5A4EA">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8D0A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53C2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7C9E6">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616B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F57C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0C0D">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359DC">
            <w:pPr>
              <w:rPr>
                <w:rFonts w:hint="eastAsia" w:ascii="宋体" w:hAnsi="宋体" w:eastAsia="宋体" w:cs="宋体"/>
                <w:i w:val="0"/>
                <w:color w:val="000000"/>
                <w:sz w:val="24"/>
                <w:szCs w:val="24"/>
                <w:u w:val="none"/>
              </w:rPr>
            </w:pPr>
          </w:p>
        </w:tc>
      </w:tr>
      <w:tr w14:paraId="78DB8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9DF4E">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CFF8C">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DD30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A936C">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012B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AAC2C">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7070">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BF316">
            <w:pPr>
              <w:rPr>
                <w:rFonts w:hint="eastAsia" w:ascii="宋体" w:hAnsi="宋体" w:eastAsia="宋体" w:cs="宋体"/>
                <w:i w:val="0"/>
                <w:color w:val="000000"/>
                <w:sz w:val="24"/>
                <w:szCs w:val="24"/>
                <w:u w:val="none"/>
              </w:rPr>
            </w:pPr>
          </w:p>
        </w:tc>
      </w:tr>
      <w:tr w14:paraId="1383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27510">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D757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17C1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A1E3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AA44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89900">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8EAB">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4F3FD">
            <w:pPr>
              <w:rPr>
                <w:rFonts w:hint="eastAsia" w:ascii="宋体" w:hAnsi="宋体" w:eastAsia="宋体" w:cs="宋体"/>
                <w:i w:val="0"/>
                <w:color w:val="000000"/>
                <w:sz w:val="24"/>
                <w:szCs w:val="24"/>
                <w:u w:val="none"/>
              </w:rPr>
            </w:pPr>
          </w:p>
        </w:tc>
      </w:tr>
      <w:tr w14:paraId="5FD64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1F820C9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584CBD4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ACBE90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30E089A7">
      <w:pPr>
        <w:widowControl/>
        <w:jc w:val="center"/>
        <w:rPr>
          <w:rFonts w:hint="eastAsia" w:ascii="Times New Roman" w:hAnsi="Times New Roman" w:eastAsia="方正小标宋_GBK" w:cs="Times New Roman"/>
          <w:color w:val="000000"/>
          <w:kern w:val="0"/>
          <w:sz w:val="36"/>
          <w:szCs w:val="36"/>
        </w:rPr>
      </w:pPr>
    </w:p>
    <w:p w14:paraId="67A55F64">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02CA3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5895FBEC">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12836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58D82DFB">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55443934">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6771BBE">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0989F66">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2CFD8D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ECCC4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11C37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FDAF84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03FDFD98">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49C39F3">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BEB3D51">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97B2E2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CEB4A3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6C58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59A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FF4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4A83A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C88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D28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E00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79B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DAA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1DD8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EB0F7">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ED3F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04D6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0E711">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E374C">
            <w:pPr>
              <w:jc w:val="center"/>
              <w:rPr>
                <w:rFonts w:hint="eastAsia" w:ascii="宋体" w:hAnsi="宋体" w:eastAsia="宋体" w:cs="宋体"/>
                <w:i w:val="0"/>
                <w:color w:val="000000"/>
                <w:sz w:val="24"/>
                <w:szCs w:val="24"/>
                <w:u w:val="none"/>
              </w:rPr>
            </w:pPr>
          </w:p>
        </w:tc>
      </w:tr>
      <w:tr w14:paraId="30BEC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2E0EA">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6EE0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99DE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56F72">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5F639">
            <w:pPr>
              <w:jc w:val="center"/>
              <w:rPr>
                <w:rFonts w:hint="eastAsia" w:ascii="宋体" w:hAnsi="宋体" w:eastAsia="宋体" w:cs="宋体"/>
                <w:i w:val="0"/>
                <w:color w:val="000000"/>
                <w:sz w:val="24"/>
                <w:szCs w:val="24"/>
                <w:u w:val="none"/>
              </w:rPr>
            </w:pPr>
          </w:p>
        </w:tc>
      </w:tr>
      <w:tr w14:paraId="30548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2EA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8F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D8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FE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3FB1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A48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50A5">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A961">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81E4">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14:paraId="0EAD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3E80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FEFC">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0E6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637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D656">
            <w:pPr>
              <w:rPr>
                <w:rFonts w:hint="eastAsia" w:ascii="宋体" w:hAnsi="宋体" w:eastAsia="宋体" w:cs="宋体"/>
                <w:i w:val="0"/>
                <w:color w:val="000000"/>
                <w:sz w:val="24"/>
                <w:szCs w:val="24"/>
                <w:u w:val="none"/>
              </w:rPr>
            </w:pPr>
          </w:p>
        </w:tc>
      </w:tr>
      <w:tr w14:paraId="6CBB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58C4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7E9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27D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B9A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3A42">
            <w:pPr>
              <w:rPr>
                <w:rFonts w:hint="eastAsia" w:ascii="宋体" w:hAnsi="宋体" w:eastAsia="宋体" w:cs="宋体"/>
                <w:i w:val="0"/>
                <w:color w:val="000000"/>
                <w:sz w:val="24"/>
                <w:szCs w:val="24"/>
                <w:u w:val="none"/>
              </w:rPr>
            </w:pPr>
          </w:p>
        </w:tc>
      </w:tr>
      <w:tr w14:paraId="4A752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CE20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EF20">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68A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338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A19B">
            <w:pPr>
              <w:rPr>
                <w:rFonts w:hint="eastAsia" w:ascii="宋体" w:hAnsi="宋体" w:eastAsia="宋体" w:cs="宋体"/>
                <w:i w:val="0"/>
                <w:color w:val="000000"/>
                <w:sz w:val="24"/>
                <w:szCs w:val="24"/>
                <w:u w:val="none"/>
              </w:rPr>
            </w:pPr>
          </w:p>
        </w:tc>
      </w:tr>
      <w:tr w14:paraId="3C548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6E6B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676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D3F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76B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CD46">
            <w:pPr>
              <w:rPr>
                <w:rFonts w:hint="eastAsia" w:ascii="宋体" w:hAnsi="宋体" w:eastAsia="宋体" w:cs="宋体"/>
                <w:i w:val="0"/>
                <w:color w:val="000000"/>
                <w:sz w:val="24"/>
                <w:szCs w:val="24"/>
                <w:u w:val="none"/>
              </w:rPr>
            </w:pPr>
          </w:p>
        </w:tc>
      </w:tr>
      <w:tr w14:paraId="1D622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6702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5B4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F96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AAC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EC7B">
            <w:pPr>
              <w:rPr>
                <w:rFonts w:hint="eastAsia" w:ascii="宋体" w:hAnsi="宋体" w:eastAsia="宋体" w:cs="宋体"/>
                <w:i w:val="0"/>
                <w:color w:val="000000"/>
                <w:sz w:val="24"/>
                <w:szCs w:val="24"/>
                <w:u w:val="none"/>
              </w:rPr>
            </w:pPr>
          </w:p>
        </w:tc>
      </w:tr>
      <w:tr w14:paraId="18F3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3046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545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08D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222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6F89">
            <w:pPr>
              <w:rPr>
                <w:rFonts w:hint="eastAsia" w:ascii="宋体" w:hAnsi="宋体" w:eastAsia="宋体" w:cs="宋体"/>
                <w:i w:val="0"/>
                <w:color w:val="000000"/>
                <w:sz w:val="24"/>
                <w:szCs w:val="24"/>
                <w:u w:val="none"/>
              </w:rPr>
            </w:pPr>
          </w:p>
        </w:tc>
      </w:tr>
      <w:tr w14:paraId="4B7BF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00F84EC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5478DD1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BC6AC0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1D66433D">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24C7D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5282117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E8A738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0CE84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69FEEA5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A9DF79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F32ED5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6E62E7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0A184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47E2C8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5EBEA5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89EBDB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83B844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5CBC84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C851B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B496AB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77D7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7780E0F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708A426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663F46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07CF9A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EE1D22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6F5745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57F3F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C165B9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AB3B61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7A06BF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F6F9D3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0A75BE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6D2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ECED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AF9B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6D5B5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701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06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B5A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798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10D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226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BDF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0F6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79565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FB8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3CF8B">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57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94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F2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7015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8E68F">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C043C">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6C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02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FA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CE735">
            <w:pPr>
              <w:jc w:val="center"/>
              <w:rPr>
                <w:rFonts w:hint="eastAsia" w:ascii="宋体" w:hAnsi="宋体" w:eastAsia="宋体" w:cs="宋体"/>
                <w:i w:val="0"/>
                <w:color w:val="000000"/>
                <w:sz w:val="22"/>
                <w:szCs w:val="22"/>
                <w:u w:val="none"/>
              </w:rPr>
            </w:pPr>
          </w:p>
        </w:tc>
      </w:tr>
      <w:tr w14:paraId="1E24D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05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D6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EC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63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83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11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78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F6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58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28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B6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49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C7F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FF99">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9EE9">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E82B">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FDB0">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BB3F">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8D70">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965C">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4B28">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BA76">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C54D">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9701">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4ECA">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4A0D8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603233A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7ECC0C5">
      <w:pPr>
        <w:autoSpaceDE w:val="0"/>
        <w:autoSpaceDN w:val="0"/>
        <w:adjustRightInd w:val="0"/>
        <w:ind w:left="315" w:leftChars="150"/>
        <w:jc w:val="left"/>
        <w:rPr>
          <w:rFonts w:ascii="宋体" w:eastAsia="宋体" w:cs="宋体"/>
          <w:kern w:val="0"/>
          <w:sz w:val="24"/>
          <w:szCs w:val="24"/>
        </w:rPr>
      </w:pPr>
    </w:p>
    <w:p w14:paraId="7CCCF436">
      <w:pPr>
        <w:autoSpaceDE w:val="0"/>
        <w:autoSpaceDN w:val="0"/>
        <w:adjustRightInd w:val="0"/>
        <w:ind w:left="315" w:leftChars="150"/>
        <w:jc w:val="left"/>
        <w:rPr>
          <w:rFonts w:ascii="宋体" w:eastAsia="宋体" w:cs="宋体"/>
          <w:kern w:val="0"/>
          <w:sz w:val="24"/>
          <w:szCs w:val="24"/>
        </w:rPr>
      </w:pPr>
    </w:p>
    <w:p w14:paraId="34F41448">
      <w:pPr>
        <w:autoSpaceDE w:val="0"/>
        <w:autoSpaceDN w:val="0"/>
        <w:adjustRightInd w:val="0"/>
        <w:ind w:left="315" w:leftChars="150"/>
        <w:jc w:val="left"/>
        <w:rPr>
          <w:rFonts w:ascii="宋体" w:eastAsia="宋体" w:cs="宋体"/>
          <w:kern w:val="0"/>
          <w:sz w:val="24"/>
          <w:szCs w:val="24"/>
        </w:rPr>
      </w:pPr>
    </w:p>
    <w:p w14:paraId="44E8ACE8">
      <w:pPr>
        <w:autoSpaceDE w:val="0"/>
        <w:autoSpaceDN w:val="0"/>
        <w:adjustRightInd w:val="0"/>
        <w:ind w:left="315" w:leftChars="150"/>
        <w:jc w:val="left"/>
        <w:rPr>
          <w:rFonts w:ascii="宋体" w:eastAsia="宋体" w:cs="宋体"/>
          <w:kern w:val="0"/>
          <w:sz w:val="24"/>
          <w:szCs w:val="24"/>
        </w:rPr>
      </w:pPr>
    </w:p>
    <w:p w14:paraId="2ED3EE60">
      <w:pPr>
        <w:autoSpaceDE w:val="0"/>
        <w:autoSpaceDN w:val="0"/>
        <w:adjustRightInd w:val="0"/>
        <w:ind w:left="315" w:leftChars="150"/>
        <w:jc w:val="left"/>
        <w:rPr>
          <w:rFonts w:ascii="宋体" w:eastAsia="宋体" w:cs="宋体"/>
          <w:kern w:val="0"/>
          <w:sz w:val="24"/>
          <w:szCs w:val="24"/>
        </w:rPr>
      </w:pPr>
    </w:p>
    <w:p w14:paraId="00E5DCEC">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2DCA1A61">
      <w:pPr>
        <w:pStyle w:val="12"/>
        <w:rPr>
          <w:sz w:val="72"/>
          <w:szCs w:val="72"/>
        </w:rPr>
      </w:pPr>
    </w:p>
    <w:p w14:paraId="4F22E74B">
      <w:pPr>
        <w:pStyle w:val="12"/>
        <w:rPr>
          <w:sz w:val="72"/>
          <w:szCs w:val="72"/>
        </w:rPr>
      </w:pPr>
    </w:p>
    <w:p w14:paraId="12D131D3">
      <w:pPr>
        <w:pStyle w:val="12"/>
        <w:rPr>
          <w:sz w:val="72"/>
          <w:szCs w:val="72"/>
        </w:rPr>
      </w:pPr>
    </w:p>
    <w:p w14:paraId="1972C1EF">
      <w:pPr>
        <w:pStyle w:val="12"/>
        <w:rPr>
          <w:sz w:val="72"/>
          <w:szCs w:val="72"/>
        </w:rPr>
      </w:pPr>
    </w:p>
    <w:p w14:paraId="38D569B3">
      <w:pPr>
        <w:pStyle w:val="12"/>
        <w:jc w:val="center"/>
        <w:rPr>
          <w:sz w:val="72"/>
          <w:szCs w:val="72"/>
        </w:rPr>
      </w:pPr>
    </w:p>
    <w:p w14:paraId="307968B4">
      <w:pPr>
        <w:pStyle w:val="12"/>
        <w:jc w:val="center"/>
        <w:rPr>
          <w:rFonts w:hint="eastAsia" w:ascii="方正小标宋_GBK" w:hAnsi="方正小标宋_GBK" w:eastAsia="方正小标宋_GBK" w:cs="方正小标宋_GBK"/>
          <w:sz w:val="72"/>
          <w:szCs w:val="72"/>
        </w:rPr>
      </w:pPr>
    </w:p>
    <w:p w14:paraId="1BA6F4BA">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7E41098">
      <w:pPr>
        <w:pStyle w:val="12"/>
        <w:jc w:val="center"/>
        <w:rPr>
          <w:rFonts w:hint="eastAsia" w:ascii="方正小标宋_GBK" w:hAnsi="方正小标宋_GBK" w:eastAsia="方正小标宋_GBK" w:cs="方正小标宋_GBK"/>
          <w:sz w:val="70"/>
          <w:szCs w:val="70"/>
        </w:rPr>
      </w:pPr>
    </w:p>
    <w:p w14:paraId="50691CE7">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59A2B05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7E5E71C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5D5130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231.82</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6.36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%，主要是因</w:t>
      </w:r>
      <w:r>
        <w:rPr>
          <w:rFonts w:hint="eastAsia" w:ascii="Times New Roman" w:hAnsi="Times New Roman" w:eastAsia="仿宋_GB2312"/>
          <w:sz w:val="32"/>
          <w:szCs w:val="32"/>
          <w:lang w:eastAsia="zh-CN"/>
        </w:rPr>
        <w:t>为缩减开支，实行过紧日子要求。</w:t>
      </w:r>
    </w:p>
    <w:p w14:paraId="67EB5EC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6CCC90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115.91</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115.91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E426E5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502B505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115.91</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103.09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12.82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6D09C6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45CE8B1">
      <w:pPr>
        <w:pStyle w:val="12"/>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231.82</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6.36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%，主要是因</w:t>
      </w:r>
      <w:r>
        <w:rPr>
          <w:rFonts w:hint="eastAsia" w:ascii="Times New Roman" w:hAnsi="Times New Roman" w:eastAsia="仿宋_GB2312"/>
          <w:sz w:val="32"/>
          <w:szCs w:val="32"/>
          <w:lang w:eastAsia="zh-CN"/>
        </w:rPr>
        <w:t>为缩减开支，实行过紧日子要求</w:t>
      </w:r>
    </w:p>
    <w:p w14:paraId="53D64E1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F12579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583CEED7">
      <w:pPr>
        <w:pStyle w:val="1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115.91</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6.36</w:t>
      </w:r>
      <w:r>
        <w:rPr>
          <w:rFonts w:hint="eastAsia" w:ascii="Times New Roman" w:hAnsi="Times New Roman" w:eastAsia="仿宋_GB2312"/>
          <w:sz w:val="32"/>
          <w:szCs w:val="32"/>
        </w:rPr>
        <w:t>万元，减</w:t>
      </w:r>
      <w:r>
        <w:rPr>
          <w:rFonts w:hint="eastAsia" w:ascii="Times New Roman" w:hAnsi="Times New Roman" w:eastAsia="仿宋_GB2312"/>
          <w:sz w:val="32"/>
          <w:szCs w:val="32"/>
          <w:lang w:eastAsia="zh-CN"/>
        </w:rPr>
        <w:t>少</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缩减开支，实行过紧日子要求</w:t>
      </w:r>
      <w:r>
        <w:rPr>
          <w:rFonts w:hint="eastAsia" w:ascii="Times New Roman" w:hAnsi="Times New Roman" w:eastAsia="仿宋_GB2312"/>
          <w:sz w:val="32"/>
          <w:szCs w:val="32"/>
          <w:lang w:val="en-US" w:eastAsia="zh-CN"/>
        </w:rPr>
        <w:t>.</w:t>
      </w:r>
    </w:p>
    <w:p w14:paraId="4598FF9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6B2FE8D5">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0B4DBBF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115.91</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107.68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8.23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p>
    <w:p w14:paraId="2A45A81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472F2B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114.39</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115.91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101</w:t>
      </w:r>
      <w:r>
        <w:rPr>
          <w:rFonts w:hint="eastAsia" w:ascii="Times New Roman" w:hAnsi="Times New Roman" w:eastAsia="仿宋_GB2312"/>
          <w:sz w:val="32"/>
          <w:szCs w:val="32"/>
        </w:rPr>
        <w:t>%，其中：</w:t>
      </w:r>
    </w:p>
    <w:p w14:paraId="7A14162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eastAsia="zh-CN"/>
        </w:rPr>
        <w:t>社会保障和就业支出</w:t>
      </w:r>
    </w:p>
    <w:p w14:paraId="3C25DDA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101.59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107.68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105</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工作人员工资薪级调整增资。</w:t>
      </w:r>
    </w:p>
    <w:p w14:paraId="5298935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3B6185C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103.09</w:t>
      </w:r>
      <w:r>
        <w:rPr>
          <w:rFonts w:hint="eastAsia" w:ascii="Times New Roman" w:hAnsi="Times New Roman" w:eastAsia="仿宋_GB2312"/>
          <w:sz w:val="32"/>
          <w:szCs w:val="32"/>
        </w:rPr>
        <w:t>万元，其中：</w:t>
      </w:r>
    </w:p>
    <w:p w14:paraId="36D709A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102.62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99</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、机关事业单位基本养老保险等支出。</w:t>
      </w:r>
    </w:p>
    <w:p w14:paraId="275B90A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0.47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0.4</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14:paraId="65AC624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579DB8B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255C8E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F30B17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2943DE9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4B3848C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76F1ACE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w:t>
      </w:r>
      <w:r>
        <w:rPr>
          <w:rFonts w:hint="eastAsia" w:ascii="Times New Roman" w:hAnsi="Times New Roman" w:eastAsia="仿宋_GB2312"/>
          <w:sz w:val="32"/>
          <w:szCs w:val="32"/>
          <w:lang w:eastAsia="zh-CN"/>
        </w:rPr>
        <w:t>元</w:t>
      </w:r>
      <w:r>
        <w:rPr>
          <w:rFonts w:hint="eastAsia" w:ascii="Times New Roman" w:hAnsi="Times New Roman" w:eastAsia="仿宋_GB2312"/>
          <w:sz w:val="32"/>
          <w:szCs w:val="32"/>
        </w:rPr>
        <w:t>。</w:t>
      </w:r>
    </w:p>
    <w:p w14:paraId="7CD117D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114E8FF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w:t>
      </w:r>
    </w:p>
    <w:p w14:paraId="6E32C18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759A2549">
      <w:pPr>
        <w:pStyle w:val="12"/>
        <w:keepNext w:val="0"/>
        <w:keepLines w:val="0"/>
        <w:pageBreakBefore w:val="0"/>
        <w:widowControl w:val="0"/>
        <w:kinsoku/>
        <w:wordWrap/>
        <w:overflowPunct/>
        <w:topLinePunct w:val="0"/>
        <w:bidi w:val="0"/>
        <w:snapToGrid/>
        <w:spacing w:line="600" w:lineRule="exact"/>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本单位无政府性基金收支</w:t>
      </w:r>
      <w:r>
        <w:rPr>
          <w:rFonts w:hint="eastAsia" w:ascii="Times New Roman" w:hAnsi="Times New Roman" w:eastAsia="仿宋_GB2312"/>
          <w:sz w:val="32"/>
          <w:szCs w:val="32"/>
          <w:lang w:val="en-US" w:eastAsia="zh-CN"/>
        </w:rPr>
        <w:t xml:space="preserve"> ，所以</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2AC14A0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p>
    <w:p w14:paraId="682ABFE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4F2E484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103.09</w:t>
      </w:r>
      <w:r>
        <w:rPr>
          <w:rFonts w:hint="eastAsia" w:ascii="Times New Roman" w:hAnsi="Times New Roman" w:eastAsia="仿宋_GB2312"/>
          <w:sz w:val="32"/>
          <w:szCs w:val="32"/>
        </w:rPr>
        <w:t>万元</w:t>
      </w:r>
      <w:r>
        <w:rPr>
          <w:rFonts w:hint="eastAsia" w:ascii="楷体" w:hAnsi="楷体" w:eastAsia="楷体" w:cs="楷体"/>
          <w:b/>
          <w:bCs/>
          <w:i/>
          <w:color w:val="auto"/>
          <w:kern w:val="0"/>
          <w:sz w:val="32"/>
          <w:szCs w:val="32"/>
          <w:lang w:val="en-US" w:eastAsia="zh-CN" w:bidi="ar-SA"/>
        </w:rPr>
        <w:t>（与部门决算中行政单位和参照公务员法管理事业单位财政拨款基本支出中公用经费之和一致）</w:t>
      </w:r>
      <w:r>
        <w:rPr>
          <w:rFonts w:hint="eastAsia" w:ascii="Times New Roman" w:hAnsi="Times New Roman" w:eastAsia="仿宋_GB2312"/>
          <w:sz w:val="32"/>
          <w:szCs w:val="32"/>
        </w:rPr>
        <w:t>，比年初预算数</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工作人员工资薪级调资</w:t>
      </w:r>
      <w:r>
        <w:rPr>
          <w:rFonts w:hint="eastAsia" w:ascii="Times New Roman" w:hAnsi="Times New Roman" w:eastAsia="仿宋_GB2312"/>
          <w:sz w:val="32"/>
          <w:szCs w:val="32"/>
        </w:rPr>
        <w:t>。</w:t>
      </w:r>
    </w:p>
    <w:p w14:paraId="2D94A08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101CAB9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p>
    <w:p w14:paraId="43AF428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686BB6CE">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4B39941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0D48918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65E07B2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1292510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4DA7342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本部门绩效管理工作严格按上级指示有序进行</w:t>
      </w:r>
    </w:p>
    <w:p w14:paraId="5C245B5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4D481AFA">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本年度本单位加大了参保扩面工作，确保了全年收支平衡，加强工伤待遇审核、稽核工作，确保了基金的安全。做好了相关政策的宣传、解释工作。完成了各项下达任务。</w:t>
      </w:r>
    </w:p>
    <w:p w14:paraId="02C5602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0CB828C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存在的问题主要是单位人员不足，有时不能更完美地完成任务。</w:t>
      </w:r>
    </w:p>
    <w:p w14:paraId="5BD7F6F2">
      <w:pPr>
        <w:pStyle w:val="12"/>
        <w:jc w:val="both"/>
        <w:rPr>
          <w:sz w:val="72"/>
          <w:szCs w:val="72"/>
        </w:rPr>
      </w:pPr>
    </w:p>
    <w:p w14:paraId="39117EB4">
      <w:pPr>
        <w:pStyle w:val="12"/>
        <w:jc w:val="center"/>
        <w:rPr>
          <w:sz w:val="72"/>
          <w:szCs w:val="72"/>
        </w:rPr>
      </w:pPr>
    </w:p>
    <w:p w14:paraId="65E37DF3">
      <w:pPr>
        <w:pStyle w:val="12"/>
        <w:jc w:val="center"/>
        <w:rPr>
          <w:sz w:val="72"/>
          <w:szCs w:val="72"/>
        </w:rPr>
      </w:pPr>
    </w:p>
    <w:p w14:paraId="5D38A77A">
      <w:pPr>
        <w:pStyle w:val="12"/>
        <w:jc w:val="both"/>
        <w:rPr>
          <w:rFonts w:hint="eastAsia" w:ascii="方正小标宋_GBK" w:hAnsi="方正小标宋_GBK" w:eastAsia="方正小标宋_GBK" w:cs="方正小标宋_GBK"/>
          <w:sz w:val="72"/>
          <w:szCs w:val="72"/>
        </w:rPr>
      </w:pPr>
    </w:p>
    <w:p w14:paraId="1D62E09A">
      <w:pPr>
        <w:pStyle w:val="12"/>
        <w:jc w:val="center"/>
        <w:rPr>
          <w:rFonts w:hint="eastAsia" w:ascii="方正小标宋_GBK" w:hAnsi="方正小标宋_GBK" w:eastAsia="方正小标宋_GBK" w:cs="方正小标宋_GBK"/>
          <w:sz w:val="72"/>
          <w:szCs w:val="72"/>
        </w:rPr>
      </w:pPr>
    </w:p>
    <w:p w14:paraId="02A403FC">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B2387C5">
      <w:pPr>
        <w:jc w:val="center"/>
        <w:rPr>
          <w:rFonts w:hint="eastAsia" w:ascii="方正小标宋_GBK" w:hAnsi="方正小标宋_GBK" w:eastAsia="方正小标宋_GBK" w:cs="方正小标宋_GBK"/>
          <w:color w:val="000000"/>
          <w:kern w:val="0"/>
          <w:sz w:val="70"/>
          <w:szCs w:val="70"/>
        </w:rPr>
      </w:pPr>
    </w:p>
    <w:p w14:paraId="07ED5D75">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ABD647E">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206F66A9">
      <w:pPr>
        <w:ind w:firstLine="640" w:firstLineChars="200"/>
        <w:jc w:val="left"/>
        <w:rPr>
          <w:rFonts w:cs="黑体" w:asciiTheme="minorEastAsia" w:hAnsiTheme="minorEastAsia"/>
          <w:color w:val="000000"/>
          <w:kern w:val="0"/>
          <w:sz w:val="32"/>
          <w:szCs w:val="32"/>
        </w:rPr>
      </w:pPr>
    </w:p>
    <w:p w14:paraId="36E02FE6">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1.预算收入和支出完成率，衡量事业单位收入和支出总预算及分项预算完成的程度。计算公式为：</w:t>
      </w:r>
    </w:p>
    <w:p w14:paraId="025021B6">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预算收入完成率＝年终执行数÷调整预算数×100%</w:t>
      </w:r>
    </w:p>
    <w:p w14:paraId="397B1B3E">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年终执行数不含上年结转和结余收入数</w:t>
      </w:r>
    </w:p>
    <w:p w14:paraId="3BBB12E9">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预算支出完成率＝年终执行数÷调整预算数×100%</w:t>
      </w:r>
    </w:p>
    <w:p w14:paraId="50C6A16E">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年终执行数不含上年结转和结余支出数</w:t>
      </w:r>
    </w:p>
    <w:p w14:paraId="238CA5CD">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2.人员支出、公用支出占事业支出的比率，衡量事业单位事业支出结构。计算公式为：</w:t>
      </w:r>
    </w:p>
    <w:p w14:paraId="0D54BE12">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人员支出比率＝人员支出÷事业支出×100%</w:t>
      </w:r>
    </w:p>
    <w:p w14:paraId="471F2A16">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公用支出比率＝公用支出÷事业支出×100%</w:t>
      </w:r>
    </w:p>
    <w:p w14:paraId="6B5D6836">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3.人均基本支出，衡量事业单位按照实际在编人数平均的基本支出水平。计算公式为：</w:t>
      </w:r>
    </w:p>
    <w:p w14:paraId="23F629E3">
      <w:pPr>
        <w:snapToGrid w:val="0"/>
        <w:ind w:firstLine="640" w:firstLineChars="200"/>
        <w:rPr>
          <w:rFonts w:hint="eastAsia" w:ascii="仿宋_GB2312" w:hAnsi="仿宋" w:eastAsia="仿宋_GB2312"/>
          <w:b/>
          <w:sz w:val="32"/>
          <w:szCs w:val="32"/>
        </w:rPr>
      </w:pPr>
      <w:r>
        <w:rPr>
          <w:rFonts w:hint="eastAsia" w:ascii="仿宋_GB2312" w:hAnsi="仿宋" w:eastAsia="仿宋_GB2312"/>
          <w:sz w:val="32"/>
          <w:szCs w:val="32"/>
        </w:rPr>
        <w:t>人均基本支出＝（基本支出-离退休人员支出）÷实际在编人数</w:t>
      </w:r>
    </w:p>
    <w:p w14:paraId="081B653D">
      <w:pPr>
        <w:snapToGrid w:val="0"/>
        <w:ind w:firstLine="640" w:firstLineChars="200"/>
        <w:rPr>
          <w:rFonts w:hint="eastAsia" w:ascii="仿宋_GB2312" w:hAnsi="仿宋" w:eastAsia="仿宋_GB2312"/>
          <w:sz w:val="32"/>
          <w:szCs w:val="32"/>
        </w:rPr>
      </w:pPr>
    </w:p>
    <w:p w14:paraId="52474A7E">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此外，行业事业单位还可根据相关财务制度规定和分析需要增加相关分析指标，如：</w:t>
      </w:r>
    </w:p>
    <w:p w14:paraId="454D07D6">
      <w:pPr>
        <w:ind w:firstLine="707" w:firstLineChars="221"/>
        <w:rPr>
          <w:rFonts w:hint="eastAsia" w:ascii="仿宋_GB2312" w:hAnsi="仿宋" w:eastAsia="仿宋_GB2312"/>
          <w:sz w:val="32"/>
          <w:szCs w:val="32"/>
        </w:rPr>
      </w:pPr>
      <w:r>
        <w:rPr>
          <w:rFonts w:hint="eastAsia" w:ascii="仿宋_GB2312" w:hAnsi="仿宋" w:eastAsia="仿宋_GB2312"/>
          <w:sz w:val="32"/>
          <w:szCs w:val="32"/>
        </w:rPr>
        <w:t>1.财政拨款依存度, 衡量部门（单位）对财政拨款的依赖程度。</w:t>
      </w:r>
    </w:p>
    <w:p w14:paraId="6767CD3B">
      <w:pPr>
        <w:widowControl/>
        <w:ind w:firstLine="640" w:firstLineChars="200"/>
        <w:textAlignment w:val="center"/>
        <w:rPr>
          <w:rFonts w:hint="eastAsia" w:ascii="仿宋_GB2312" w:hAnsi="仿宋" w:eastAsia="仿宋_GB2312"/>
          <w:sz w:val="32"/>
          <w:szCs w:val="32"/>
        </w:rPr>
      </w:pPr>
      <w:r>
        <w:rPr>
          <w:rFonts w:hint="eastAsia" w:ascii="仿宋_GB2312" w:hAnsi="仿宋" w:eastAsia="仿宋_GB2312"/>
          <w:sz w:val="32"/>
          <w:szCs w:val="32"/>
        </w:rPr>
        <w:t>财政拨款依存度＝财政拨款收入÷收入总额×100%</w:t>
      </w:r>
    </w:p>
    <w:p w14:paraId="07795673"/>
    <w:p w14:paraId="362ED802"/>
    <w:p w14:paraId="5105E742">
      <w:pPr>
        <w:ind w:firstLine="640" w:firstLineChars="200"/>
        <w:jc w:val="left"/>
        <w:rPr>
          <w:rFonts w:hint="eastAsia" w:cs="黑体" w:asciiTheme="minorEastAsia" w:hAnsiTheme="minorEastAsia" w:eastAsiaTheme="minorEastAsia"/>
          <w:color w:val="000000"/>
          <w:kern w:val="0"/>
          <w:sz w:val="32"/>
          <w:szCs w:val="32"/>
          <w:lang w:val="en-US" w:eastAsia="zh-CN" w:bidi="ar-SA"/>
        </w:rPr>
      </w:pPr>
    </w:p>
    <w:p w14:paraId="0412634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p>
    <w:p w14:paraId="5079BA44">
      <w:pPr>
        <w:pStyle w:val="12"/>
        <w:ind w:firstLine="3960" w:firstLineChars="900"/>
        <w:jc w:val="both"/>
        <w:rPr>
          <w:rFonts w:hint="eastAsia"/>
          <w:sz w:val="44"/>
          <w:szCs w:val="44"/>
          <w:lang w:eastAsia="zh-CN"/>
        </w:rPr>
      </w:pPr>
      <w:r>
        <w:rPr>
          <w:rFonts w:hint="eastAsia"/>
          <w:sz w:val="44"/>
          <w:szCs w:val="44"/>
          <w:lang w:eastAsia="zh-CN"/>
        </w:rPr>
        <w:t>沅江市工伤保险服务中心</w:t>
      </w:r>
    </w:p>
    <w:p w14:paraId="1FB2ACEF">
      <w:pPr>
        <w:pStyle w:val="12"/>
        <w:ind w:firstLine="3960" w:firstLineChars="900"/>
        <w:jc w:val="both"/>
        <w:rPr>
          <w:rFonts w:hint="eastAsia"/>
          <w:sz w:val="44"/>
          <w:szCs w:val="44"/>
          <w:lang w:eastAsia="zh-CN"/>
        </w:rPr>
      </w:pPr>
    </w:p>
    <w:p w14:paraId="0953025B">
      <w:pPr>
        <w:pStyle w:val="12"/>
        <w:ind w:firstLine="4840" w:firstLineChars="1100"/>
        <w:jc w:val="both"/>
        <w:rPr>
          <w:rFonts w:hint="default"/>
          <w:sz w:val="44"/>
          <w:szCs w:val="44"/>
          <w:lang w:val="en-US" w:eastAsia="zh-CN"/>
        </w:rPr>
      </w:pPr>
      <w:r>
        <w:rPr>
          <w:rFonts w:hint="eastAsia"/>
          <w:sz w:val="44"/>
          <w:szCs w:val="44"/>
          <w:lang w:val="en-US" w:eastAsia="zh-CN"/>
        </w:rPr>
        <w:t>2025年9月20日</w:t>
      </w:r>
    </w:p>
    <w:p w14:paraId="2E900A05">
      <w:pPr>
        <w:pStyle w:val="12"/>
        <w:jc w:val="center"/>
        <w:rPr>
          <w:sz w:val="72"/>
          <w:szCs w:val="72"/>
        </w:rPr>
      </w:pPr>
    </w:p>
    <w:p w14:paraId="252F7E95">
      <w:pPr>
        <w:pStyle w:val="12"/>
        <w:jc w:val="center"/>
        <w:rPr>
          <w:sz w:val="72"/>
          <w:szCs w:val="72"/>
        </w:rPr>
      </w:pPr>
    </w:p>
    <w:p w14:paraId="4AE5528C">
      <w:pPr>
        <w:pStyle w:val="12"/>
        <w:jc w:val="center"/>
        <w:rPr>
          <w:sz w:val="72"/>
          <w:szCs w:val="72"/>
        </w:rPr>
      </w:pPr>
    </w:p>
    <w:p w14:paraId="161D454E">
      <w:pPr>
        <w:pStyle w:val="12"/>
        <w:jc w:val="center"/>
        <w:rPr>
          <w:sz w:val="72"/>
          <w:szCs w:val="72"/>
        </w:rPr>
      </w:pPr>
    </w:p>
    <w:p w14:paraId="3ADFAA67">
      <w:pPr>
        <w:pStyle w:val="12"/>
        <w:jc w:val="center"/>
        <w:rPr>
          <w:sz w:val="72"/>
          <w:szCs w:val="72"/>
        </w:rPr>
      </w:pPr>
    </w:p>
    <w:p w14:paraId="21C7E3EE">
      <w:pPr>
        <w:rPr>
          <w:sz w:val="72"/>
          <w:szCs w:val="72"/>
        </w:rPr>
      </w:pPr>
      <w:r>
        <w:rPr>
          <w:sz w:val="72"/>
          <w:szCs w:val="72"/>
        </w:rPr>
        <w:br w:type="page"/>
      </w:r>
    </w:p>
    <w:p w14:paraId="70BB4EF7">
      <w:pPr>
        <w:pStyle w:val="12"/>
        <w:jc w:val="center"/>
        <w:rPr>
          <w:rFonts w:hint="eastAsia" w:ascii="方正小标宋_GBK" w:hAnsi="方正小标宋_GBK" w:eastAsia="方正小标宋_GBK" w:cs="方正小标宋_GBK"/>
          <w:sz w:val="72"/>
          <w:szCs w:val="72"/>
        </w:rPr>
      </w:pPr>
    </w:p>
    <w:p w14:paraId="73124AE4">
      <w:pPr>
        <w:pStyle w:val="12"/>
        <w:jc w:val="center"/>
        <w:rPr>
          <w:rFonts w:hint="eastAsia" w:ascii="方正小标宋_GBK" w:hAnsi="方正小标宋_GBK" w:eastAsia="方正小标宋_GBK" w:cs="方正小标宋_GBK"/>
          <w:sz w:val="72"/>
          <w:szCs w:val="72"/>
        </w:rPr>
      </w:pPr>
    </w:p>
    <w:p w14:paraId="16778B85">
      <w:pPr>
        <w:pStyle w:val="12"/>
        <w:jc w:val="both"/>
        <w:rPr>
          <w:rFonts w:hint="eastAsia" w:ascii="方正小标宋_GBK" w:hAnsi="方正小标宋_GBK" w:eastAsia="方正小标宋_GBK" w:cs="方正小标宋_GBK"/>
          <w:sz w:val="72"/>
          <w:szCs w:val="72"/>
        </w:rPr>
      </w:pPr>
    </w:p>
    <w:p w14:paraId="4E0EC1D4">
      <w:pPr>
        <w:pStyle w:val="12"/>
        <w:jc w:val="both"/>
        <w:rPr>
          <w:rFonts w:hint="eastAsia" w:eastAsia="黑体"/>
          <w:sz w:val="72"/>
          <w:szCs w:val="72"/>
          <w:lang w:eastAsia="zh-CN"/>
        </w:rPr>
      </w:pPr>
    </w:p>
    <w:p w14:paraId="268F935B">
      <w:pPr>
        <w:rPr>
          <w:rFonts w:hint="eastAsia" w:ascii="Times New Roman" w:hAnsi="Times New Roman" w:eastAsia="仿宋_GB2312"/>
          <w:sz w:val="32"/>
          <w:szCs w:val="32"/>
          <w:lang w:val="en-US" w:eastAsia="zh-CN"/>
        </w:rPr>
      </w:pPr>
      <w:r>
        <w:rPr>
          <w:sz w:val="72"/>
          <w:szCs w:val="72"/>
        </w:rPr>
        <w:br w:type="page"/>
      </w:r>
    </w:p>
    <w:p w14:paraId="594F7C4A">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A8DA8">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9E009">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ZTQxYmI1ODFhMzMxOTA0MzdmYjA1MGFlMTQ2OTA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0C5ED2"/>
    <w:rsid w:val="045657D0"/>
    <w:rsid w:val="08972163"/>
    <w:rsid w:val="08F40BC0"/>
    <w:rsid w:val="0FCF7F30"/>
    <w:rsid w:val="0FDE7F7B"/>
    <w:rsid w:val="112A20C6"/>
    <w:rsid w:val="128F6ED4"/>
    <w:rsid w:val="1A2C5CAE"/>
    <w:rsid w:val="1B344993"/>
    <w:rsid w:val="1D97DEFF"/>
    <w:rsid w:val="1DFF72E5"/>
    <w:rsid w:val="1EFC6F07"/>
    <w:rsid w:val="20383362"/>
    <w:rsid w:val="204C1BC2"/>
    <w:rsid w:val="20B44B0A"/>
    <w:rsid w:val="22AD6602"/>
    <w:rsid w:val="28465962"/>
    <w:rsid w:val="2B233137"/>
    <w:rsid w:val="2FDF85B8"/>
    <w:rsid w:val="2FFFEE04"/>
    <w:rsid w:val="34A73392"/>
    <w:rsid w:val="34DF85B0"/>
    <w:rsid w:val="37AD4745"/>
    <w:rsid w:val="3B8F36BC"/>
    <w:rsid w:val="3D1672BD"/>
    <w:rsid w:val="3D6D4544"/>
    <w:rsid w:val="3E8353E3"/>
    <w:rsid w:val="41311782"/>
    <w:rsid w:val="445C494E"/>
    <w:rsid w:val="450C046A"/>
    <w:rsid w:val="491FF225"/>
    <w:rsid w:val="49AF1E13"/>
    <w:rsid w:val="4AD8457E"/>
    <w:rsid w:val="4C04455D"/>
    <w:rsid w:val="4FFD214C"/>
    <w:rsid w:val="51630CBA"/>
    <w:rsid w:val="5619076A"/>
    <w:rsid w:val="5777D4F5"/>
    <w:rsid w:val="594A3A33"/>
    <w:rsid w:val="59DD8326"/>
    <w:rsid w:val="5B513842"/>
    <w:rsid w:val="5B641793"/>
    <w:rsid w:val="5CB232E6"/>
    <w:rsid w:val="5CF80AE0"/>
    <w:rsid w:val="5DEF592A"/>
    <w:rsid w:val="5F696BF2"/>
    <w:rsid w:val="5FB5549C"/>
    <w:rsid w:val="5FC6BB1E"/>
    <w:rsid w:val="5FF720F1"/>
    <w:rsid w:val="61CE4B58"/>
    <w:rsid w:val="632D7BEF"/>
    <w:rsid w:val="64252928"/>
    <w:rsid w:val="66C56FCC"/>
    <w:rsid w:val="67FF5C0B"/>
    <w:rsid w:val="6EFC0924"/>
    <w:rsid w:val="6FB74722"/>
    <w:rsid w:val="6FEF8B7E"/>
    <w:rsid w:val="71A6591B"/>
    <w:rsid w:val="71B43077"/>
    <w:rsid w:val="737D59BA"/>
    <w:rsid w:val="77C37683"/>
    <w:rsid w:val="79FF515B"/>
    <w:rsid w:val="7E9E1962"/>
    <w:rsid w:val="7E9F11B4"/>
    <w:rsid w:val="7EFF5D87"/>
    <w:rsid w:val="7F37EC1E"/>
    <w:rsid w:val="7F7DCD9D"/>
    <w:rsid w:val="7F970A6F"/>
    <w:rsid w:val="7FC1FFF3"/>
    <w:rsid w:val="7FC69637"/>
    <w:rsid w:val="7FDF8620"/>
    <w:rsid w:val="7FF01ECF"/>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1018</Words>
  <Characters>1091</Characters>
  <Lines>63</Lines>
  <Paragraphs>18</Paragraphs>
  <TotalTime>44</TotalTime>
  <ScaleCrop>false</ScaleCrop>
  <LinksUpToDate>false</LinksUpToDate>
  <CharactersWithSpaces>1259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2025-10-13T04:42:49Z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DEC2A366CCAF4C6F8CEFBB2620FE451C_12</vt:lpwstr>
  </property>
  <property fmtid="{D5CDD505-2E9C-101B-9397-08002B2CF9AE}" pid="4" name="KSOTemplateDocerSaveRecord">
    <vt:lpwstr>eyJoZGlkIjoiN2Y5ZTQxYmI1ODFhMzMxOTA0MzdmYjA1MGFlMTQ2OTAifQ==</vt:lpwstr>
  </property>
</Properties>
</file>