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A74F6">
      <w:pPr>
        <w:spacing w:line="600" w:lineRule="exact"/>
        <w:ind w:firstLine="880" w:firstLineChars="200"/>
        <w:jc w:val="center"/>
        <w:rPr>
          <w:rFonts w:hint="eastAsia" w:ascii="方正小标宋简体" w:hAnsi="方正小标宋简体" w:eastAsia="方正小标宋简体" w:cs="方正小标宋简体"/>
          <w:sz w:val="44"/>
          <w:szCs w:val="44"/>
        </w:rPr>
      </w:pPr>
    </w:p>
    <w:p w14:paraId="77920AE1">
      <w:pPr>
        <w:spacing w:line="6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年度琼湖街道办事处项目支出绩效评价报告</w:t>
      </w:r>
    </w:p>
    <w:p w14:paraId="4610CCFE">
      <w:pPr>
        <w:spacing w:line="600" w:lineRule="exact"/>
        <w:ind w:firstLine="640" w:firstLineChars="200"/>
        <w:rPr>
          <w:rFonts w:eastAsia="黑体"/>
          <w:sz w:val="32"/>
          <w:szCs w:val="32"/>
        </w:rPr>
      </w:pPr>
      <w:r>
        <w:rPr>
          <w:rFonts w:eastAsia="黑体"/>
          <w:sz w:val="32"/>
          <w:szCs w:val="32"/>
        </w:rPr>
        <w:t> </w:t>
      </w:r>
    </w:p>
    <w:p w14:paraId="6A7011A3">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eastAsia="黑体"/>
          <w:sz w:val="32"/>
          <w:szCs w:val="32"/>
        </w:rPr>
      </w:pPr>
      <w:r>
        <w:rPr>
          <w:rFonts w:eastAsia="黑体"/>
          <w:sz w:val="32"/>
          <w:szCs w:val="32"/>
        </w:rPr>
        <w:t>一、项目支出基本情况</w:t>
      </w:r>
    </w:p>
    <w:p w14:paraId="303403DD">
      <w:pPr>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（一）项目支出概况</w:t>
      </w:r>
    </w:p>
    <w:p w14:paraId="1D18FD8D">
      <w:pPr>
        <w:pStyle w:val="6"/>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ascii="仿宋_GB2312" w:eastAsia="仿宋_GB2312"/>
          <w:sz w:val="32"/>
          <w:szCs w:val="32"/>
        </w:rPr>
      </w:pPr>
      <w:r>
        <w:rPr>
          <w:rFonts w:hint="eastAsia" w:ascii="仿宋_GB2312" w:eastAsia="仿宋_GB2312"/>
          <w:sz w:val="32"/>
          <w:szCs w:val="32"/>
        </w:rPr>
        <w:t>琼湖街道办事处是沅江市人民政府派出机关，受人民政府领导，依据法律法规的规定，在本辖区内行使相应的政府管理职能。</w:t>
      </w:r>
    </w:p>
    <w:p w14:paraId="32FF0571">
      <w:pPr>
        <w:pStyle w:val="6"/>
        <w:keepNext w:val="0"/>
        <w:keepLines w:val="0"/>
        <w:pageBreakBefore w:val="0"/>
        <w:kinsoku/>
        <w:wordWrap/>
        <w:overflowPunct/>
        <w:topLinePunct w:val="0"/>
        <w:autoSpaceDE/>
        <w:autoSpaceDN/>
        <w:bidi w:val="0"/>
        <w:adjustRightInd/>
        <w:snapToGrid/>
        <w:spacing w:after="0" w:line="560" w:lineRule="exact"/>
        <w:ind w:left="0" w:leftChars="0" w:firstLine="640" w:firstLineChars="200"/>
        <w:rPr>
          <w:rFonts w:hint="eastAsia" w:ascii="仿宋_GB2312" w:eastAsia="仿宋_GB2312"/>
          <w:sz w:val="32"/>
          <w:szCs w:val="32"/>
        </w:rPr>
      </w:pPr>
      <w:r>
        <w:rPr>
          <w:rFonts w:hint="eastAsia" w:ascii="Times New Roman" w:hAnsi="Times New Roman" w:eastAsia="仿宋_GB2312" w:cs="Times New Roman"/>
          <w:kern w:val="2"/>
          <w:sz w:val="32"/>
          <w:szCs w:val="32"/>
          <w:lang w:val="en-US" w:eastAsia="zh-CN" w:bidi="ar-SA"/>
        </w:rPr>
        <w:t>2024</w:t>
      </w:r>
      <w:r>
        <w:rPr>
          <w:rFonts w:hint="eastAsia" w:ascii="仿宋_GB2312" w:eastAsia="仿宋_GB2312"/>
          <w:sz w:val="32"/>
          <w:szCs w:val="32"/>
        </w:rPr>
        <w:t>年琼湖街道办事处项目主要涉及以下内容：城市创建支出、巩固脱贫攻坚成果衔接乡村振兴支出、村社运转保障支出、公共就业创业补助支出等。</w:t>
      </w:r>
    </w:p>
    <w:p w14:paraId="4DFABB63">
      <w:pPr>
        <w:pStyle w:val="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sz w:val="32"/>
          <w:szCs w:val="32"/>
          <w:lang w:val="en-US" w:eastAsia="zh-CN"/>
        </w:rPr>
        <w:t>项目资金使用管理情况</w:t>
      </w:r>
    </w:p>
    <w:p w14:paraId="62D45E8E">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eastAsia="仿宋_GB2312"/>
          <w:sz w:val="32"/>
          <w:szCs w:val="32"/>
          <w:lang w:val="en-US" w:eastAsia="zh-CN"/>
        </w:rPr>
      </w:pPr>
      <w:r>
        <w:rPr>
          <w:rFonts w:hint="eastAsia" w:ascii="Times New Roman" w:hAnsi="Times New Roman" w:eastAsia="仿宋_GB2312"/>
          <w:sz w:val="32"/>
          <w:szCs w:val="32"/>
          <w:lang w:val="en-US" w:eastAsia="zh-CN"/>
        </w:rPr>
        <w:t>1</w:t>
      </w:r>
      <w:r>
        <w:rPr>
          <w:rFonts w:hint="eastAsia" w:ascii="仿宋_GB2312" w:eastAsia="仿宋_GB2312"/>
          <w:sz w:val="32"/>
          <w:szCs w:val="32"/>
          <w:lang w:val="en-US" w:eastAsia="zh-CN"/>
        </w:rPr>
        <w:t>、专项资金总投资及资金来源</w:t>
      </w:r>
    </w:p>
    <w:p w14:paraId="66E32DFC">
      <w:pPr>
        <w:spacing w:line="560" w:lineRule="exact"/>
        <w:ind w:firstLine="640" w:firstLineChars="200"/>
        <w:rPr>
          <w:rFonts w:hint="eastAsia"/>
          <w:lang w:eastAsia="zh-CN"/>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仿宋_GB2312" w:hAnsi="å®‹ä½“" w:eastAsia="仿宋_GB2312" w:cs="仿宋_GB2312"/>
          <w:color w:val="333333"/>
          <w:sz w:val="31"/>
          <w:szCs w:val="31"/>
        </w:rPr>
        <w:t>年度项目支出</w:t>
      </w:r>
      <w:r>
        <w:rPr>
          <w:rFonts w:hint="eastAsia" w:ascii="Times New Roman" w:hAnsi="Times New Roman" w:eastAsia="仿宋_GB2312" w:cs="Times New Roman"/>
          <w:sz w:val="32"/>
          <w:szCs w:val="32"/>
        </w:rPr>
        <w:t>10154.85</w:t>
      </w:r>
      <w:r>
        <w:rPr>
          <w:rFonts w:ascii="仿宋_GB2312" w:hAnsi="å®‹ä½“" w:eastAsia="仿宋_GB2312" w:cs="仿宋_GB2312"/>
          <w:color w:val="333333"/>
          <w:sz w:val="31"/>
          <w:szCs w:val="31"/>
        </w:rPr>
        <w:t>万元，</w:t>
      </w:r>
      <w:r>
        <w:rPr>
          <w:rFonts w:hint="eastAsia" w:ascii="仿宋_GB2312" w:hAnsi="å®‹ä½“" w:eastAsia="仿宋_GB2312" w:cs="仿宋_GB2312"/>
          <w:color w:val="333333"/>
          <w:sz w:val="31"/>
          <w:szCs w:val="31"/>
        </w:rPr>
        <w:t>其中：财政拨款</w:t>
      </w:r>
      <w:r>
        <w:rPr>
          <w:rFonts w:hint="eastAsia" w:ascii="Times New Roman" w:hAnsi="Times New Roman" w:eastAsia="仿宋_GB2312" w:cs="Times New Roman"/>
          <w:sz w:val="32"/>
          <w:szCs w:val="32"/>
        </w:rPr>
        <w:t>3419.64</w:t>
      </w:r>
      <w:r>
        <w:rPr>
          <w:rFonts w:hint="eastAsia" w:ascii="仿宋_GB2312" w:hAnsi="å®‹ä½“" w:eastAsia="仿宋_GB2312" w:cs="仿宋_GB2312"/>
          <w:color w:val="333333"/>
          <w:sz w:val="31"/>
          <w:szCs w:val="31"/>
        </w:rPr>
        <w:t>万元，其他资金</w:t>
      </w:r>
      <w:r>
        <w:rPr>
          <w:rFonts w:hint="eastAsia" w:ascii="Times New Roman" w:hAnsi="Times New Roman" w:eastAsia="仿宋_GB2312" w:cs="Times New Roman"/>
          <w:sz w:val="32"/>
          <w:szCs w:val="32"/>
        </w:rPr>
        <w:t>6735.21</w:t>
      </w:r>
      <w:r>
        <w:rPr>
          <w:rFonts w:hint="eastAsia" w:ascii="仿宋_GB2312" w:hAnsi="å®‹ä½“" w:eastAsia="仿宋_GB2312" w:cs="仿宋_GB2312"/>
          <w:color w:val="333333"/>
          <w:sz w:val="31"/>
          <w:szCs w:val="31"/>
        </w:rPr>
        <w:t>万元。</w:t>
      </w:r>
    </w:p>
    <w:p w14:paraId="0AD01821">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baseline"/>
        <w:rPr>
          <w:rFonts w:hint="eastAsia" w:ascii="仿宋_GB2312"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w:t>
      </w:r>
      <w:r>
        <w:rPr>
          <w:rFonts w:hint="eastAsia" w:ascii="仿宋_GB2312" w:eastAsia="仿宋_GB2312"/>
          <w:sz w:val="32"/>
          <w:szCs w:val="32"/>
          <w:lang w:val="en-US" w:eastAsia="zh-CN"/>
        </w:rPr>
        <w:t>专项资金安排落实及到位情况</w:t>
      </w:r>
    </w:p>
    <w:p w14:paraId="651E4F10">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Times New Roman" w:hAnsi="Times New Roman" w:eastAsia="仿宋_GB2312" w:cs="Times New Roman"/>
          <w:sz w:val="32"/>
          <w:szCs w:val="32"/>
        </w:rPr>
        <w:t>2024</w:t>
      </w:r>
      <w:r>
        <w:rPr>
          <w:rFonts w:hint="eastAsia" w:ascii="仿宋_GB2312" w:hAnsi="方正仿宋简体" w:eastAsia="仿宋_GB2312" w:cs="方正仿宋简体"/>
          <w:sz w:val="32"/>
          <w:szCs w:val="32"/>
        </w:rPr>
        <w:t>年度专项支出决算数为</w:t>
      </w:r>
      <w:r>
        <w:rPr>
          <w:rFonts w:hint="eastAsia" w:ascii="Times New Roman" w:hAnsi="Times New Roman" w:eastAsia="仿宋_GB2312" w:cs="Times New Roman"/>
          <w:sz w:val="32"/>
          <w:szCs w:val="32"/>
        </w:rPr>
        <w:t>10154.85</w:t>
      </w:r>
      <w:r>
        <w:rPr>
          <w:rFonts w:hint="eastAsia" w:ascii="仿宋_GB2312" w:hAnsi="方正仿宋简体" w:eastAsia="仿宋_GB2312" w:cs="方正仿宋简体"/>
          <w:sz w:val="32"/>
          <w:szCs w:val="32"/>
        </w:rPr>
        <w:t>万元，</w:t>
      </w:r>
      <w:r>
        <w:rPr>
          <w:rFonts w:hint="eastAsia" w:ascii="仿宋_GB2312" w:hAnsi="方正仿宋简体" w:eastAsia="仿宋_GB2312" w:cs="方正仿宋简体"/>
          <w:sz w:val="32"/>
          <w:szCs w:val="32"/>
          <w:lang w:val="zh-CN"/>
        </w:rPr>
        <w:t>主要用于以下方面：</w:t>
      </w:r>
      <w:r>
        <w:rPr>
          <w:rFonts w:hint="eastAsia" w:ascii="仿宋_GB2312" w:hAnsi="仿宋_GB2312" w:eastAsia="仿宋_GB2312" w:cs="仿宋_GB2312"/>
          <w:color w:val="000000"/>
          <w:kern w:val="0"/>
          <w:sz w:val="32"/>
          <w:szCs w:val="32"/>
          <w:shd w:val="clear" w:color="auto" w:fill="FFFFFF"/>
        </w:rPr>
        <w:t>一般公共服务支出</w:t>
      </w:r>
      <w:r>
        <w:rPr>
          <w:rFonts w:hint="eastAsia" w:ascii="Times New Roman" w:hAnsi="Times New Roman" w:eastAsia="仿宋_GB2312" w:cs="Times New Roman"/>
          <w:sz w:val="32"/>
          <w:szCs w:val="32"/>
        </w:rPr>
        <w:t>372.56</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3.67%</w:t>
      </w:r>
      <w:r>
        <w:rPr>
          <w:rFonts w:hint="eastAsia" w:ascii="仿宋_GB2312" w:hAnsi="仿宋_GB2312" w:eastAsia="仿宋_GB2312" w:cs="仿宋_GB2312"/>
          <w:color w:val="000000"/>
          <w:kern w:val="0"/>
          <w:sz w:val="32"/>
          <w:szCs w:val="32"/>
          <w:shd w:val="clear" w:color="auto" w:fill="FFFFFF"/>
        </w:rPr>
        <w:t>；公共安全支出</w:t>
      </w:r>
      <w:r>
        <w:rPr>
          <w:rFonts w:hint="eastAsia" w:ascii="Times New Roman" w:hAnsi="Times New Roman" w:eastAsia="仿宋_GB2312" w:cs="Times New Roman"/>
          <w:sz w:val="32"/>
          <w:szCs w:val="32"/>
        </w:rPr>
        <w:t>14.61</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0.15%</w:t>
      </w:r>
      <w:r>
        <w:rPr>
          <w:rFonts w:hint="eastAsia" w:ascii="仿宋_GB2312" w:hAnsi="仿宋_GB2312" w:eastAsia="仿宋_GB2312" w:cs="仿宋_GB2312"/>
          <w:color w:val="000000"/>
          <w:kern w:val="0"/>
          <w:sz w:val="32"/>
          <w:szCs w:val="32"/>
          <w:shd w:val="clear" w:color="auto" w:fill="FFFFFF"/>
        </w:rPr>
        <w:t>；教育支出</w:t>
      </w:r>
      <w:r>
        <w:rPr>
          <w:rFonts w:hint="eastAsia" w:ascii="Times New Roman" w:hAnsi="Times New Roman" w:eastAsia="仿宋_GB2312" w:cs="Times New Roman"/>
          <w:sz w:val="32"/>
          <w:szCs w:val="32"/>
        </w:rPr>
        <w:t>83.67</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0.83%</w:t>
      </w:r>
      <w:r>
        <w:rPr>
          <w:rFonts w:hint="eastAsia" w:ascii="仿宋_GB2312" w:hAnsi="仿宋_GB2312" w:eastAsia="仿宋_GB2312" w:cs="仿宋_GB2312"/>
          <w:color w:val="000000"/>
          <w:kern w:val="0"/>
          <w:sz w:val="32"/>
          <w:szCs w:val="32"/>
          <w:shd w:val="clear" w:color="auto" w:fill="FFFFFF"/>
        </w:rPr>
        <w:t>；科学技术支出</w:t>
      </w:r>
      <w:r>
        <w:rPr>
          <w:rFonts w:hint="eastAsia" w:ascii="Times New Roman" w:hAnsi="Times New Roman" w:eastAsia="仿宋_GB2312" w:cs="Times New Roman"/>
          <w:sz w:val="32"/>
          <w:szCs w:val="32"/>
        </w:rPr>
        <w:t>36.80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0.37%</w:t>
      </w:r>
      <w:r>
        <w:rPr>
          <w:rFonts w:hint="eastAsia" w:ascii="仿宋_GB2312" w:hAnsi="仿宋_GB2312" w:eastAsia="仿宋_GB2312" w:cs="仿宋_GB2312"/>
          <w:color w:val="000000"/>
          <w:kern w:val="0"/>
          <w:sz w:val="32"/>
          <w:szCs w:val="32"/>
          <w:shd w:val="clear" w:color="auto" w:fill="FFFFFF"/>
        </w:rPr>
        <w:t>；文化旅游体育与传媒支出</w:t>
      </w:r>
      <w:r>
        <w:rPr>
          <w:rFonts w:hint="eastAsia" w:ascii="Times New Roman" w:hAnsi="Times New Roman" w:eastAsia="仿宋_GB2312" w:cs="Times New Roman"/>
          <w:sz w:val="32"/>
          <w:szCs w:val="32"/>
        </w:rPr>
        <w:t>9.00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0.09%</w:t>
      </w:r>
      <w:r>
        <w:rPr>
          <w:rFonts w:hint="eastAsia" w:ascii="仿宋_GB2312" w:hAnsi="仿宋_GB2312" w:eastAsia="仿宋_GB2312" w:cs="仿宋_GB2312"/>
          <w:color w:val="000000"/>
          <w:kern w:val="0"/>
          <w:sz w:val="32"/>
          <w:szCs w:val="32"/>
          <w:shd w:val="clear" w:color="auto" w:fill="FFFFFF"/>
        </w:rPr>
        <w:t>；社会保障和就业支出</w:t>
      </w:r>
      <w:r>
        <w:rPr>
          <w:rFonts w:hint="eastAsia" w:ascii="Times New Roman" w:hAnsi="Times New Roman" w:eastAsia="仿宋_GB2312" w:cs="Times New Roman"/>
          <w:sz w:val="32"/>
          <w:szCs w:val="32"/>
        </w:rPr>
        <w:t>1617.79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15.94%</w:t>
      </w:r>
      <w:r>
        <w:rPr>
          <w:rFonts w:hint="eastAsia" w:ascii="仿宋_GB2312" w:hAnsi="仿宋_GB2312" w:eastAsia="仿宋_GB2312" w:cs="仿宋_GB2312"/>
          <w:color w:val="000000"/>
          <w:kern w:val="0"/>
          <w:sz w:val="32"/>
          <w:szCs w:val="32"/>
          <w:shd w:val="clear" w:color="auto" w:fill="FFFFFF"/>
        </w:rPr>
        <w:t>；卫生健康支出</w:t>
      </w:r>
      <w:r>
        <w:rPr>
          <w:rFonts w:hint="eastAsia" w:ascii="Times New Roman" w:hAnsi="Times New Roman" w:eastAsia="仿宋_GB2312" w:cs="Times New Roman"/>
          <w:sz w:val="32"/>
          <w:szCs w:val="32"/>
        </w:rPr>
        <w:t>15.46</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0.06%</w:t>
      </w:r>
      <w:r>
        <w:rPr>
          <w:rFonts w:hint="eastAsia" w:ascii="仿宋_GB2312" w:hAnsi="仿宋_GB2312" w:eastAsia="仿宋_GB2312" w:cs="仿宋_GB2312"/>
          <w:color w:val="000000"/>
          <w:kern w:val="0"/>
          <w:sz w:val="32"/>
          <w:szCs w:val="32"/>
          <w:shd w:val="clear" w:color="auto" w:fill="FFFFFF"/>
        </w:rPr>
        <w:t>；节能环保支出</w:t>
      </w:r>
      <w:r>
        <w:rPr>
          <w:rFonts w:hint="eastAsia" w:ascii="Times New Roman" w:hAnsi="Times New Roman" w:eastAsia="仿宋_GB2312" w:cs="Times New Roman"/>
          <w:sz w:val="32"/>
          <w:szCs w:val="32"/>
        </w:rPr>
        <w:t>43.00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0.43%</w:t>
      </w:r>
      <w:r>
        <w:rPr>
          <w:rFonts w:hint="eastAsia" w:ascii="仿宋_GB2312" w:hAnsi="仿宋_GB2312" w:eastAsia="仿宋_GB2312" w:cs="仿宋_GB2312"/>
          <w:color w:val="000000"/>
          <w:kern w:val="0"/>
          <w:sz w:val="32"/>
          <w:szCs w:val="32"/>
          <w:shd w:val="clear" w:color="auto" w:fill="FFFFFF"/>
        </w:rPr>
        <w:t>；城乡社区支出</w:t>
      </w:r>
      <w:r>
        <w:rPr>
          <w:rFonts w:hint="eastAsia" w:ascii="Times New Roman" w:hAnsi="Times New Roman" w:eastAsia="仿宋_GB2312" w:cs="Times New Roman"/>
          <w:sz w:val="32"/>
          <w:szCs w:val="32"/>
        </w:rPr>
        <w:t>2612.38</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25.73%</w:t>
      </w:r>
      <w:r>
        <w:rPr>
          <w:rFonts w:hint="eastAsia" w:ascii="仿宋_GB2312" w:hAnsi="仿宋_GB2312" w:eastAsia="仿宋_GB2312" w:cs="仿宋_GB2312"/>
          <w:color w:val="000000"/>
          <w:kern w:val="0"/>
          <w:sz w:val="32"/>
          <w:szCs w:val="32"/>
          <w:shd w:val="clear" w:color="auto" w:fill="FFFFFF"/>
        </w:rPr>
        <w:t>；农林水支出</w:t>
      </w:r>
      <w:r>
        <w:rPr>
          <w:rFonts w:hint="eastAsia" w:ascii="Times New Roman" w:hAnsi="Times New Roman" w:eastAsia="仿宋_GB2312" w:cs="Times New Roman"/>
          <w:sz w:val="32"/>
          <w:szCs w:val="32"/>
        </w:rPr>
        <w:t>740.98</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7.30%</w:t>
      </w:r>
      <w:r>
        <w:rPr>
          <w:rFonts w:hint="eastAsia" w:ascii="仿宋_GB2312" w:hAnsi="仿宋_GB2312" w:eastAsia="仿宋_GB2312" w:cs="仿宋_GB2312"/>
          <w:color w:val="000000"/>
          <w:kern w:val="0"/>
          <w:sz w:val="32"/>
          <w:szCs w:val="32"/>
          <w:shd w:val="clear" w:color="auto" w:fill="FFFFFF"/>
        </w:rPr>
        <w:t>；交通运输支出</w:t>
      </w:r>
      <w:r>
        <w:rPr>
          <w:rFonts w:hint="eastAsia" w:ascii="Times New Roman" w:hAnsi="Times New Roman" w:eastAsia="仿宋_GB2312" w:cs="Times New Roman"/>
          <w:sz w:val="32"/>
          <w:szCs w:val="32"/>
        </w:rPr>
        <w:t>104.19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1.03%</w:t>
      </w:r>
      <w:r>
        <w:rPr>
          <w:rFonts w:hint="eastAsia" w:ascii="仿宋_GB2312" w:hAnsi="仿宋_GB2312" w:eastAsia="仿宋_GB2312" w:cs="仿宋_GB2312"/>
          <w:color w:val="000000"/>
          <w:kern w:val="0"/>
          <w:sz w:val="32"/>
          <w:szCs w:val="32"/>
          <w:shd w:val="clear" w:color="auto" w:fill="FFFFFF"/>
        </w:rPr>
        <w:t>；商业服务业等支出</w:t>
      </w:r>
      <w:r>
        <w:rPr>
          <w:rFonts w:hint="eastAsia" w:ascii="Times New Roman" w:hAnsi="Times New Roman" w:eastAsia="仿宋_GB2312" w:cs="Times New Roman"/>
          <w:sz w:val="32"/>
          <w:szCs w:val="32"/>
        </w:rPr>
        <w:t>20.00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0.20%；</w:t>
      </w:r>
      <w:r>
        <w:rPr>
          <w:rFonts w:hint="eastAsia" w:ascii="仿宋_GB2312" w:hAnsi="仿宋_GB2312" w:eastAsia="仿宋_GB2312" w:cs="仿宋_GB2312"/>
          <w:color w:val="000000"/>
          <w:kern w:val="0"/>
          <w:sz w:val="32"/>
          <w:szCs w:val="32"/>
          <w:shd w:val="clear" w:color="auto" w:fill="FFFFFF"/>
        </w:rPr>
        <w:t>自然资源海洋气象等支出</w:t>
      </w:r>
      <w:r>
        <w:rPr>
          <w:rFonts w:hint="eastAsia" w:ascii="Times New Roman" w:hAnsi="Times New Roman" w:eastAsia="仿宋_GB2312" w:cs="Times New Roman"/>
          <w:sz w:val="32"/>
          <w:szCs w:val="32"/>
        </w:rPr>
        <w:t>70.48</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0.70%</w:t>
      </w:r>
      <w:r>
        <w:rPr>
          <w:rFonts w:hint="eastAsia" w:ascii="仿宋_GB2312" w:hAnsi="仿宋_GB2312" w:eastAsia="仿宋_GB2312" w:cs="仿宋_GB2312"/>
          <w:color w:val="000000"/>
          <w:kern w:val="0"/>
          <w:sz w:val="32"/>
          <w:szCs w:val="32"/>
          <w:shd w:val="clear" w:color="auto" w:fill="FFFFFF"/>
        </w:rPr>
        <w:t>万元；粮油物资储备支出</w:t>
      </w:r>
      <w:r>
        <w:rPr>
          <w:rFonts w:hint="eastAsia" w:ascii="Times New Roman" w:hAnsi="Times New Roman" w:eastAsia="仿宋_GB2312" w:cs="Times New Roman"/>
          <w:sz w:val="32"/>
          <w:szCs w:val="32"/>
        </w:rPr>
        <w:t>180.00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1.78%</w:t>
      </w:r>
      <w:r>
        <w:rPr>
          <w:rFonts w:hint="eastAsia" w:ascii="仿宋_GB2312" w:hAnsi="仿宋_GB2312" w:eastAsia="仿宋_GB2312" w:cs="仿宋_GB2312"/>
          <w:color w:val="000000"/>
          <w:kern w:val="0"/>
          <w:sz w:val="32"/>
          <w:szCs w:val="32"/>
          <w:shd w:val="clear" w:color="auto" w:fill="FFFFFF"/>
        </w:rPr>
        <w:t>；国有资本经营预算支出</w:t>
      </w:r>
      <w:r>
        <w:rPr>
          <w:rFonts w:hint="eastAsia" w:ascii="Times New Roman" w:hAnsi="Times New Roman" w:eastAsia="仿宋_GB2312" w:cs="Times New Roman"/>
          <w:sz w:val="32"/>
          <w:szCs w:val="32"/>
        </w:rPr>
        <w:t>36.74</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0.37%</w:t>
      </w:r>
      <w:r>
        <w:rPr>
          <w:rFonts w:hint="eastAsia" w:ascii="仿宋_GB2312" w:hAnsi="仿宋_GB2312" w:eastAsia="仿宋_GB2312" w:cs="仿宋_GB2312"/>
          <w:color w:val="000000"/>
          <w:kern w:val="0"/>
          <w:sz w:val="32"/>
          <w:szCs w:val="32"/>
          <w:shd w:val="clear" w:color="auto" w:fill="FFFFFF"/>
        </w:rPr>
        <w:t>；灾害防治及应急管理支出</w:t>
      </w:r>
      <w:r>
        <w:rPr>
          <w:rFonts w:hint="eastAsia" w:ascii="Times New Roman" w:hAnsi="Times New Roman" w:eastAsia="仿宋_GB2312" w:cs="Times New Roman"/>
          <w:sz w:val="32"/>
          <w:szCs w:val="32"/>
        </w:rPr>
        <w:t>3.00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0.03%</w:t>
      </w:r>
      <w:r>
        <w:rPr>
          <w:rFonts w:hint="eastAsia" w:ascii="仿宋_GB2312" w:hAnsi="仿宋_GB2312" w:eastAsia="仿宋_GB2312" w:cs="仿宋_GB2312"/>
          <w:color w:val="000000"/>
          <w:kern w:val="0"/>
          <w:sz w:val="32"/>
          <w:szCs w:val="32"/>
          <w:shd w:val="clear" w:color="auto" w:fill="FFFFFF"/>
        </w:rPr>
        <w:t>；其他支出</w:t>
      </w:r>
      <w:r>
        <w:rPr>
          <w:rFonts w:hint="eastAsia" w:ascii="Times New Roman" w:hAnsi="Times New Roman" w:eastAsia="仿宋_GB2312" w:cs="Times New Roman"/>
          <w:sz w:val="32"/>
          <w:szCs w:val="32"/>
        </w:rPr>
        <w:t>4194.19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cs="Times New Roman"/>
          <w:sz w:val="32"/>
          <w:szCs w:val="32"/>
        </w:rPr>
        <w:t>41.31%</w:t>
      </w:r>
      <w:r>
        <w:rPr>
          <w:rFonts w:hint="eastAsia" w:ascii="仿宋_GB2312" w:hAnsi="仿宋_GB2312" w:eastAsia="仿宋_GB2312" w:cs="仿宋_GB2312"/>
          <w:color w:val="000000"/>
          <w:kern w:val="0"/>
          <w:sz w:val="32"/>
          <w:szCs w:val="32"/>
          <w:shd w:val="clear" w:color="auto" w:fill="FFFFFF"/>
        </w:rPr>
        <w:t>。</w:t>
      </w:r>
    </w:p>
    <w:p w14:paraId="51124055">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baseline"/>
        <w:rPr>
          <w:rFonts w:hint="default"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所有资金均已在</w:t>
      </w:r>
      <w:r>
        <w:rPr>
          <w:rFonts w:hint="eastAsia" w:ascii="Times New Roman" w:hAnsi="Times New Roman" w:eastAsia="仿宋_GB2312" w:cs="Times New Roman"/>
          <w:kern w:val="2"/>
          <w:sz w:val="32"/>
          <w:szCs w:val="32"/>
          <w:lang w:val="en-US" w:eastAsia="zh-CN" w:bidi="ar-SA"/>
        </w:rPr>
        <w:t>2024</w:t>
      </w:r>
      <w:r>
        <w:rPr>
          <w:rFonts w:hint="eastAsia" w:ascii="仿宋_GB2312" w:hAnsi="仿宋_GB2312" w:eastAsia="仿宋_GB2312" w:cs="仿宋_GB2312"/>
          <w:color w:val="000000"/>
          <w:kern w:val="0"/>
          <w:sz w:val="32"/>
          <w:szCs w:val="32"/>
          <w:shd w:val="clear" w:color="auto" w:fill="FFFFFF"/>
          <w:lang w:val="en-US" w:eastAsia="zh-CN" w:bidi="ar-SA"/>
        </w:rPr>
        <w:t>年安排拨付到位。</w:t>
      </w:r>
    </w:p>
    <w:p w14:paraId="5A28174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sz w:val="32"/>
          <w:szCs w:val="32"/>
        </w:rPr>
        <w:t>项目支出绩效目标完成程度</w:t>
      </w:r>
    </w:p>
    <w:p w14:paraId="45437592">
      <w:pPr>
        <w:pStyle w:val="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sz w:val="32"/>
          <w:szCs w:val="32"/>
          <w:lang w:val="en-US" w:eastAsia="zh-CN"/>
        </w:rPr>
        <w:t>、项目组织情况</w:t>
      </w:r>
    </w:p>
    <w:p w14:paraId="29336D67">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我单位申报的项目均从2024年年初计划实施，并于2024年年底前完成年度绩效目标，各项目资金支出有序进行。</w:t>
      </w:r>
    </w:p>
    <w:p w14:paraId="23201F23">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专项管理情况</w:t>
      </w:r>
    </w:p>
    <w:p w14:paraId="1CF3476B">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所有专项资金严格按照专项资金的使用范围和用途支出，严格遵守“专款专用”，严格落实专项资金的申拨、使用审批手续，专项资金报销时需经本单位领导层层审批，确保了资金支出的真实性、安全性、合理性，充分发挥资金使用效益</w:t>
      </w:r>
      <w:r>
        <w:rPr>
          <w:rFonts w:hint="eastAsia" w:ascii="仿宋_GB2312" w:hAnsi="仿宋_GB2312" w:eastAsia="仿宋_GB2312" w:cs="仿宋_GB2312"/>
          <w:sz w:val="32"/>
          <w:szCs w:val="32"/>
          <w:lang w:val="en-US" w:eastAsia="zh-CN"/>
        </w:rPr>
        <w:t>。</w:t>
      </w:r>
    </w:p>
    <w:p w14:paraId="68A79C7D">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专项完成情况</w:t>
      </w:r>
    </w:p>
    <w:p w14:paraId="7CFB5A04">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行政管理事务、公共服务支出保障机关行政事务的有效运行，卫生健康支出保障了群众参保积极性，城乡社区支出保障了群众健康</w:t>
      </w:r>
      <w:r>
        <w:rPr>
          <w:rFonts w:hint="eastAsia" w:ascii="仿宋_GB2312" w:hAnsi="仿宋_GB2312" w:eastAsia="仿宋_GB2312" w:cs="仿宋_GB2312"/>
          <w:sz w:val="32"/>
          <w:szCs w:val="32"/>
          <w:lang w:val="en-US" w:eastAsia="zh-CN"/>
        </w:rPr>
        <w:t>民生</w:t>
      </w:r>
      <w:r>
        <w:rPr>
          <w:rFonts w:hint="default" w:ascii="仿宋_GB2312" w:hAnsi="仿宋_GB2312" w:eastAsia="仿宋_GB2312" w:cs="仿宋_GB2312"/>
          <w:sz w:val="32"/>
          <w:szCs w:val="32"/>
          <w:lang w:val="en-US" w:eastAsia="zh-CN"/>
        </w:rPr>
        <w:t>工程顺利实施</w:t>
      </w:r>
      <w:r>
        <w:rPr>
          <w:rFonts w:hint="eastAsia" w:ascii="仿宋_GB2312" w:hAnsi="仿宋_GB2312" w:eastAsia="仿宋_GB2312" w:cs="仿宋_GB2312"/>
          <w:sz w:val="32"/>
          <w:szCs w:val="32"/>
          <w:lang w:val="en-US" w:eastAsia="zh-CN"/>
        </w:rPr>
        <w:t>。</w:t>
      </w:r>
    </w:p>
    <w:p w14:paraId="37E7A2D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eastAsia="黑体"/>
          <w:sz w:val="32"/>
          <w:szCs w:val="32"/>
        </w:rPr>
      </w:pPr>
      <w:r>
        <w:rPr>
          <w:rFonts w:hint="eastAsia" w:ascii="Calibri" w:hAnsi="Calibri" w:eastAsia="黑体" w:cs="Times New Roman"/>
          <w:kern w:val="2"/>
          <w:sz w:val="32"/>
          <w:szCs w:val="32"/>
          <w:lang w:val="en-US" w:eastAsia="zh-CN" w:bidi="ar-SA"/>
        </w:rPr>
        <w:t>二、</w:t>
      </w:r>
      <w:r>
        <w:rPr>
          <w:rFonts w:eastAsia="黑体"/>
          <w:sz w:val="32"/>
          <w:szCs w:val="32"/>
        </w:rPr>
        <w:t>绩效评价工作</w:t>
      </w:r>
      <w:r>
        <w:rPr>
          <w:rFonts w:hint="eastAsia" w:eastAsia="黑体"/>
          <w:sz w:val="32"/>
          <w:szCs w:val="32"/>
        </w:rPr>
        <w:t>开展</w:t>
      </w:r>
      <w:r>
        <w:rPr>
          <w:rFonts w:eastAsia="黑体"/>
          <w:sz w:val="32"/>
          <w:szCs w:val="32"/>
        </w:rPr>
        <w:t>情况</w:t>
      </w:r>
    </w:p>
    <w:p w14:paraId="1C11E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rPr>
        <w:t>部门预算绩效管理</w:t>
      </w:r>
    </w:p>
    <w:p w14:paraId="413DAA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对部门全部</w:t>
      </w:r>
      <w:r>
        <w:rPr>
          <w:rFonts w:hint="eastAsia" w:ascii="仿宋_GB2312" w:hAnsi="仿宋_GB2312" w:eastAsia="仿宋_GB2312" w:cs="仿宋_GB2312"/>
          <w:i w:val="0"/>
          <w:iCs w:val="0"/>
          <w:caps w:val="0"/>
          <w:color w:val="333333"/>
          <w:spacing w:val="0"/>
          <w:sz w:val="32"/>
          <w:szCs w:val="32"/>
          <w:shd w:val="clear" w:fill="FFFFFF"/>
          <w:lang w:eastAsia="zh-CN"/>
        </w:rPr>
        <w:t>项目支出</w:t>
      </w:r>
      <w:r>
        <w:rPr>
          <w:rFonts w:hint="eastAsia" w:ascii="仿宋_GB2312" w:hAnsi="仿宋_GB2312" w:eastAsia="仿宋_GB2312" w:cs="仿宋_GB2312"/>
          <w:i w:val="0"/>
          <w:iCs w:val="0"/>
          <w:caps w:val="0"/>
          <w:color w:val="333333"/>
          <w:spacing w:val="0"/>
          <w:sz w:val="32"/>
          <w:szCs w:val="32"/>
          <w:shd w:val="clear" w:fill="FFFFFF"/>
        </w:rPr>
        <w:t>实行绩效管理，每年年初制定绩效自评方案，对部门所有财政性资金用于项目支出的绩效目标完成情况进行了绩效自评价。围绕部门职责、行业发展规划，从履职效能、社会效应、可持续发展能力和服务对象满意度等方面评价部门</w:t>
      </w:r>
      <w:r>
        <w:rPr>
          <w:rFonts w:hint="eastAsia" w:ascii="仿宋_GB2312" w:hAnsi="仿宋_GB2312" w:eastAsia="仿宋_GB2312" w:cs="仿宋_GB2312"/>
          <w:i w:val="0"/>
          <w:iCs w:val="0"/>
          <w:caps w:val="0"/>
          <w:color w:val="333333"/>
          <w:spacing w:val="0"/>
          <w:sz w:val="32"/>
          <w:szCs w:val="32"/>
          <w:shd w:val="clear" w:fill="FFFFFF"/>
          <w:lang w:eastAsia="zh-CN"/>
        </w:rPr>
        <w:t>专项支出</w:t>
      </w:r>
      <w:r>
        <w:rPr>
          <w:rFonts w:hint="eastAsia" w:ascii="仿宋_GB2312" w:hAnsi="仿宋_GB2312" w:eastAsia="仿宋_GB2312" w:cs="仿宋_GB2312"/>
          <w:i w:val="0"/>
          <w:iCs w:val="0"/>
          <w:caps w:val="0"/>
          <w:color w:val="333333"/>
          <w:spacing w:val="0"/>
          <w:sz w:val="32"/>
          <w:szCs w:val="32"/>
          <w:shd w:val="clear" w:fill="FFFFFF"/>
        </w:rPr>
        <w:t>实施效果。</w:t>
      </w:r>
    </w:p>
    <w:p w14:paraId="44B0D3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i w:val="0"/>
          <w:iCs w:val="0"/>
          <w:caps w:val="0"/>
          <w:color w:val="333333"/>
          <w:spacing w:val="0"/>
          <w:sz w:val="32"/>
          <w:szCs w:val="32"/>
          <w:shd w:val="clear" w:fill="FFFFFF"/>
        </w:rPr>
        <w:t>政策和项目预算绩效管理</w:t>
      </w:r>
    </w:p>
    <w:p w14:paraId="08BF5E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实现项目支出绩效评价预算部门全覆盖。在绩效自评价全覆盖的基础上，每年选择部分重点民生政策和重大项目组织开展重点绩效评价工作。从数量、质量、时效、成本、效益等方面综合衡量政策和项目预算资金使用效果。</w:t>
      </w:r>
    </w:p>
    <w:p w14:paraId="6D8E788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eastAsia="黑体"/>
          <w:sz w:val="32"/>
          <w:szCs w:val="32"/>
        </w:rPr>
      </w:pPr>
      <w:r>
        <w:rPr>
          <w:rFonts w:hint="eastAsia" w:ascii="Calibri" w:hAnsi="Calibri" w:eastAsia="黑体" w:cs="Times New Roman"/>
          <w:kern w:val="2"/>
          <w:sz w:val="32"/>
          <w:szCs w:val="32"/>
          <w:lang w:val="en-US" w:eastAsia="zh-CN" w:bidi="ar-SA"/>
        </w:rPr>
        <w:t>三、</w:t>
      </w:r>
      <w:r>
        <w:rPr>
          <w:rFonts w:eastAsia="黑体"/>
          <w:sz w:val="32"/>
          <w:szCs w:val="32"/>
        </w:rPr>
        <w:t>项目支出主要绩效及评价结论</w:t>
      </w:r>
    </w:p>
    <w:p w14:paraId="796CD7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20" w:firstLineChars="200"/>
        <w:jc w:val="left"/>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rPr>
        <w:t>一年来，各个项目的建成，使得社会效益显著，有利于繁荣地方经济，取得了很大的社会经济效益。有利于扩大就业，提供社会综合事业的发展。有利于提供周边人民的收入，改善人民的生活环境。有利于改善当地的人文环境，极大程度改善交通出行问题，使周边广大人民直接受益。建成项目带来的负面影响比较小，而且我们通过一定措施在此控制影响面和影响度，使得负面影响降低到最低甚至得以解决。项目所在地社会环境、人文条件适应项目的建设与可持续发展，社会可行性良好。</w:t>
      </w:r>
    </w:p>
    <w:p w14:paraId="6C24B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20" w:firstLineChars="200"/>
        <w:jc w:val="left"/>
      </w:pPr>
      <w:r>
        <w:rPr>
          <w:rFonts w:hint="eastAsia" w:ascii="仿宋_GB2312" w:hAnsi="微软雅黑" w:eastAsia="仿宋_GB2312" w:cs="仿宋_GB2312"/>
          <w:i w:val="0"/>
          <w:iCs w:val="0"/>
          <w:caps w:val="0"/>
          <w:color w:val="333333"/>
          <w:spacing w:val="0"/>
          <w:sz w:val="31"/>
          <w:szCs w:val="31"/>
          <w:shd w:val="clear" w:fill="FFFFFF"/>
        </w:rPr>
        <w:t>通过实时监管保证了国家资金使用的真实、合法、有效，提高了资金的使用率；每个项目都在规定的时间内予以完成，保证项目的真实性及有效性。通过现场复核检验，严格对工程建设质量及其管理制度进行审查，确保建设项目的质价统一，充分体现投资审计的客观性、权威性和高层次性，对净化、规范投资及建设市场的环境起到了促进的作用，保证了建设项目的合理、合规及合法性。</w:t>
      </w:r>
    </w:p>
    <w:p w14:paraId="2007484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eastAsia="黑体"/>
          <w:sz w:val="32"/>
          <w:szCs w:val="32"/>
        </w:rPr>
      </w:pPr>
      <w:r>
        <w:rPr>
          <w:rFonts w:hint="eastAsia" w:eastAsia="黑体" w:cs="Times New Roman"/>
          <w:kern w:val="2"/>
          <w:sz w:val="32"/>
          <w:szCs w:val="32"/>
          <w:lang w:val="en-US" w:eastAsia="zh-CN" w:bidi="ar-SA"/>
        </w:rPr>
        <w:t>四</w:t>
      </w:r>
      <w:r>
        <w:rPr>
          <w:rFonts w:hint="default" w:ascii="Calibri" w:hAnsi="Calibri" w:eastAsia="黑体" w:cs="Times New Roman"/>
          <w:kern w:val="2"/>
          <w:sz w:val="32"/>
          <w:szCs w:val="32"/>
          <w:lang w:val="en-US" w:eastAsia="zh-CN" w:bidi="ar-SA"/>
        </w:rPr>
        <w:t>、</w:t>
      </w:r>
      <w:r>
        <w:rPr>
          <w:rFonts w:eastAsia="黑体"/>
          <w:sz w:val="32"/>
          <w:szCs w:val="32"/>
        </w:rPr>
        <w:t>绩效评价指标分析</w:t>
      </w:r>
    </w:p>
    <w:p w14:paraId="03E13A58">
      <w:pPr>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（一）项目支出决策情况</w:t>
      </w:r>
    </w:p>
    <w:p w14:paraId="5DDD68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rPr>
          <w:rFonts w:hint="eastAsia" w:ascii="仿宋_GB2312" w:hAnsi="微软雅黑" w:eastAsia="仿宋_GB2312" w:cs="仿宋_GB2312"/>
          <w:i w:val="0"/>
          <w:iCs w:val="0"/>
          <w:caps w:val="0"/>
          <w:color w:val="333333"/>
          <w:spacing w:val="0"/>
          <w:sz w:val="31"/>
          <w:szCs w:val="31"/>
          <w:shd w:val="clear" w:fill="FFFFFF"/>
        </w:rPr>
      </w:pPr>
      <w:r>
        <w:rPr>
          <w:rFonts w:hint="eastAsia" w:ascii="Times New Roman" w:hAnsi="Times New Roman" w:eastAsia="仿宋_GB2312" w:cs="Times New Roman"/>
          <w:kern w:val="2"/>
          <w:sz w:val="32"/>
          <w:szCs w:val="32"/>
          <w:lang w:val="en-US" w:eastAsia="zh-CN" w:bidi="ar-SA"/>
        </w:rPr>
        <w:t>1</w:t>
      </w:r>
      <w:r>
        <w:rPr>
          <w:rFonts w:hint="eastAsia" w:ascii="仿宋_GB2312" w:hAnsi="微软雅黑" w:eastAsia="仿宋_GB2312" w:cs="仿宋_GB2312"/>
          <w:i w:val="0"/>
          <w:iCs w:val="0"/>
          <w:caps w:val="0"/>
          <w:color w:val="333333"/>
          <w:spacing w:val="0"/>
          <w:sz w:val="31"/>
          <w:szCs w:val="31"/>
          <w:shd w:val="clear" w:fill="FFFFFF"/>
          <w:lang w:val="en-US" w:eastAsia="zh-CN"/>
        </w:rPr>
        <w:t>、</w:t>
      </w:r>
      <w:r>
        <w:rPr>
          <w:rFonts w:hint="eastAsia" w:ascii="仿宋_GB2312" w:hAnsi="微软雅黑" w:eastAsia="仿宋_GB2312" w:cs="仿宋_GB2312"/>
          <w:i w:val="0"/>
          <w:iCs w:val="0"/>
          <w:caps w:val="0"/>
          <w:color w:val="333333"/>
          <w:spacing w:val="0"/>
          <w:sz w:val="31"/>
          <w:szCs w:val="31"/>
          <w:shd w:val="clear" w:fill="FFFFFF"/>
        </w:rPr>
        <w:t>项目立项：项目立项规范、绩效目标合理、绩效指标明确</w:t>
      </w:r>
    </w:p>
    <w:p w14:paraId="0AF2B8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rPr>
          <w:rFonts w:hint="eastAsia" w:ascii="仿宋_GB2312" w:hAnsi="微软雅黑" w:eastAsia="仿宋_GB2312" w:cs="仿宋_GB2312"/>
          <w:i w:val="0"/>
          <w:iCs w:val="0"/>
          <w:caps w:val="0"/>
          <w:color w:val="333333"/>
          <w:spacing w:val="0"/>
          <w:sz w:val="31"/>
          <w:szCs w:val="31"/>
          <w:shd w:val="clear" w:fill="FFFFFF"/>
          <w:lang w:eastAsia="zh-CN"/>
        </w:rPr>
      </w:pPr>
      <w:r>
        <w:rPr>
          <w:rFonts w:hint="eastAsia" w:ascii="Times New Roman" w:hAnsi="Times New Roman" w:eastAsia="仿宋_GB2312" w:cs="Times New Roman"/>
          <w:kern w:val="2"/>
          <w:sz w:val="32"/>
          <w:szCs w:val="32"/>
          <w:lang w:val="en-US" w:eastAsia="zh-CN" w:bidi="ar-SA"/>
        </w:rPr>
        <w:t>2</w:t>
      </w:r>
      <w:r>
        <w:rPr>
          <w:rFonts w:hint="eastAsia" w:ascii="仿宋_GB2312" w:hAnsi="微软雅黑" w:eastAsia="仿宋_GB2312" w:cs="仿宋_GB2312"/>
          <w:i w:val="0"/>
          <w:iCs w:val="0"/>
          <w:caps w:val="0"/>
          <w:color w:val="333333"/>
          <w:spacing w:val="0"/>
          <w:sz w:val="31"/>
          <w:szCs w:val="31"/>
          <w:shd w:val="clear" w:fill="FFFFFF"/>
          <w:lang w:val="en-US" w:eastAsia="zh-CN"/>
        </w:rPr>
        <w:t>、</w:t>
      </w:r>
      <w:r>
        <w:rPr>
          <w:rFonts w:hint="eastAsia" w:ascii="仿宋_GB2312" w:hAnsi="微软雅黑" w:eastAsia="仿宋_GB2312" w:cs="仿宋_GB2312"/>
          <w:i w:val="0"/>
          <w:iCs w:val="0"/>
          <w:caps w:val="0"/>
          <w:color w:val="333333"/>
          <w:spacing w:val="0"/>
          <w:sz w:val="31"/>
          <w:szCs w:val="31"/>
          <w:shd w:val="clear" w:fill="FFFFFF"/>
        </w:rPr>
        <w:t>资金落实：实际到位资金</w:t>
      </w:r>
      <w:r>
        <w:rPr>
          <w:rFonts w:hint="default" w:ascii="Times New Roman" w:hAnsi="Times New Roman" w:eastAsia="仿宋_GB2312" w:cs="Times New Roman"/>
          <w:i w:val="0"/>
          <w:iCs w:val="0"/>
          <w:caps w:val="0"/>
          <w:color w:val="333333"/>
          <w:spacing w:val="0"/>
          <w:sz w:val="31"/>
          <w:szCs w:val="31"/>
          <w:shd w:val="clear" w:fill="FFFFFF"/>
          <w:lang w:val="en-US" w:eastAsia="zh-CN"/>
        </w:rPr>
        <w:t>10154.85</w:t>
      </w:r>
      <w:r>
        <w:rPr>
          <w:rFonts w:hint="eastAsia" w:ascii="仿宋_GB2312" w:hAnsi="微软雅黑" w:eastAsia="仿宋_GB2312" w:cs="仿宋_GB2312"/>
          <w:i w:val="0"/>
          <w:iCs w:val="0"/>
          <w:caps w:val="0"/>
          <w:color w:val="333333"/>
          <w:spacing w:val="0"/>
          <w:sz w:val="31"/>
          <w:szCs w:val="31"/>
          <w:shd w:val="clear" w:fill="FFFFFF"/>
        </w:rPr>
        <w:t>万元，计划投入资金</w:t>
      </w:r>
      <w:r>
        <w:rPr>
          <w:rFonts w:hint="eastAsia" w:ascii="Times New Roman" w:hAnsi="Times New Roman" w:eastAsia="仿宋_GB2312" w:cs="Times New Roman"/>
          <w:i w:val="0"/>
          <w:iCs w:val="0"/>
          <w:caps w:val="0"/>
          <w:color w:val="333333"/>
          <w:spacing w:val="0"/>
          <w:sz w:val="31"/>
          <w:szCs w:val="31"/>
          <w:shd w:val="clear" w:fill="FFFFFF"/>
          <w:lang w:val="en-US" w:eastAsia="zh-CN"/>
        </w:rPr>
        <w:t>10154.85</w:t>
      </w:r>
      <w:r>
        <w:rPr>
          <w:rFonts w:hint="eastAsia" w:ascii="仿宋_GB2312" w:hAnsi="微软雅黑" w:eastAsia="仿宋_GB2312" w:cs="仿宋_GB2312"/>
          <w:i w:val="0"/>
          <w:iCs w:val="0"/>
          <w:caps w:val="0"/>
          <w:color w:val="333333"/>
          <w:spacing w:val="0"/>
          <w:sz w:val="31"/>
          <w:szCs w:val="31"/>
          <w:shd w:val="clear" w:fill="FFFFFF"/>
        </w:rPr>
        <w:t>万元，资金到位率为</w:t>
      </w:r>
      <w:r>
        <w:rPr>
          <w:rFonts w:hint="eastAsia" w:ascii="Times New Roman" w:hAnsi="Times New Roman" w:eastAsia="仿宋_GB2312" w:cs="Times New Roman"/>
          <w:i w:val="0"/>
          <w:iCs w:val="0"/>
          <w:caps w:val="0"/>
          <w:color w:val="333333"/>
          <w:spacing w:val="0"/>
          <w:sz w:val="31"/>
          <w:szCs w:val="31"/>
          <w:shd w:val="clear" w:fill="FFFFFF"/>
          <w:lang w:val="en-US" w:eastAsia="zh-CN"/>
        </w:rPr>
        <w:t>100%</w:t>
      </w:r>
      <w:r>
        <w:rPr>
          <w:rFonts w:hint="eastAsia" w:ascii="仿宋_GB2312" w:hAnsi="微软雅黑" w:eastAsia="仿宋_GB2312" w:cs="仿宋_GB2312"/>
          <w:i w:val="0"/>
          <w:iCs w:val="0"/>
          <w:caps w:val="0"/>
          <w:color w:val="333333"/>
          <w:spacing w:val="0"/>
          <w:sz w:val="31"/>
          <w:szCs w:val="31"/>
          <w:shd w:val="clear" w:fill="FFFFFF"/>
        </w:rPr>
        <w:t>；及时到位资金</w:t>
      </w:r>
      <w:r>
        <w:rPr>
          <w:rFonts w:hint="eastAsia" w:ascii="Times New Roman" w:hAnsi="Times New Roman" w:eastAsia="仿宋_GB2312" w:cs="Times New Roman"/>
          <w:i w:val="0"/>
          <w:iCs w:val="0"/>
          <w:caps w:val="0"/>
          <w:color w:val="333333"/>
          <w:spacing w:val="0"/>
          <w:sz w:val="31"/>
          <w:szCs w:val="31"/>
          <w:shd w:val="clear" w:fill="FFFFFF"/>
          <w:lang w:val="en-US" w:eastAsia="zh-CN"/>
        </w:rPr>
        <w:t>10154.85</w:t>
      </w:r>
      <w:r>
        <w:rPr>
          <w:rFonts w:hint="eastAsia" w:ascii="仿宋_GB2312" w:hAnsi="微软雅黑" w:eastAsia="仿宋_GB2312" w:cs="仿宋_GB2312"/>
          <w:i w:val="0"/>
          <w:iCs w:val="0"/>
          <w:caps w:val="0"/>
          <w:color w:val="333333"/>
          <w:spacing w:val="0"/>
          <w:sz w:val="31"/>
          <w:szCs w:val="31"/>
          <w:shd w:val="clear" w:fill="FFFFFF"/>
        </w:rPr>
        <w:t>万元，应到位资金</w:t>
      </w:r>
      <w:r>
        <w:rPr>
          <w:rFonts w:hint="eastAsia" w:ascii="仿宋_GB2312" w:hAnsi="微软雅黑" w:eastAsia="仿宋_GB2312" w:cs="仿宋_GB2312"/>
          <w:i w:val="0"/>
          <w:iCs w:val="0"/>
          <w:caps w:val="0"/>
          <w:color w:val="333333"/>
          <w:spacing w:val="0"/>
          <w:sz w:val="31"/>
          <w:szCs w:val="31"/>
          <w:shd w:val="clear" w:fill="FFFFFF"/>
          <w:lang w:val="en-US" w:eastAsia="zh-CN"/>
        </w:rPr>
        <w:t>1</w:t>
      </w:r>
      <w:r>
        <w:rPr>
          <w:rFonts w:hint="eastAsia" w:ascii="Times New Roman" w:hAnsi="Times New Roman" w:eastAsia="仿宋_GB2312" w:cs="Times New Roman"/>
          <w:i w:val="0"/>
          <w:iCs w:val="0"/>
          <w:caps w:val="0"/>
          <w:color w:val="333333"/>
          <w:spacing w:val="0"/>
          <w:sz w:val="31"/>
          <w:szCs w:val="31"/>
          <w:shd w:val="clear" w:fill="FFFFFF"/>
          <w:lang w:val="en-US" w:eastAsia="zh-CN"/>
        </w:rPr>
        <w:t>0154.85</w:t>
      </w:r>
      <w:r>
        <w:rPr>
          <w:rFonts w:hint="eastAsia" w:ascii="仿宋_GB2312" w:hAnsi="微软雅黑" w:eastAsia="仿宋_GB2312" w:cs="仿宋_GB2312"/>
          <w:i w:val="0"/>
          <w:iCs w:val="0"/>
          <w:caps w:val="0"/>
          <w:color w:val="333333"/>
          <w:spacing w:val="0"/>
          <w:sz w:val="31"/>
          <w:szCs w:val="31"/>
          <w:shd w:val="clear" w:fill="FFFFFF"/>
        </w:rPr>
        <w:t>万元，到位及时率为</w:t>
      </w:r>
      <w:r>
        <w:rPr>
          <w:rFonts w:hint="eastAsia" w:ascii="Times New Roman" w:hAnsi="Times New Roman" w:eastAsia="仿宋_GB2312" w:cs="Times New Roman"/>
          <w:i w:val="0"/>
          <w:iCs w:val="0"/>
          <w:caps w:val="0"/>
          <w:color w:val="333333"/>
          <w:spacing w:val="0"/>
          <w:sz w:val="31"/>
          <w:szCs w:val="31"/>
          <w:shd w:val="clear" w:fill="FFFFFF"/>
          <w:lang w:val="en-US" w:eastAsia="zh-CN"/>
        </w:rPr>
        <w:t>100%</w:t>
      </w:r>
      <w:r>
        <w:rPr>
          <w:rFonts w:hint="eastAsia" w:ascii="仿宋_GB2312" w:hAnsi="微软雅黑" w:eastAsia="仿宋_GB2312" w:cs="仿宋_GB2312"/>
          <w:i w:val="0"/>
          <w:iCs w:val="0"/>
          <w:caps w:val="0"/>
          <w:color w:val="333333"/>
          <w:spacing w:val="0"/>
          <w:sz w:val="31"/>
          <w:szCs w:val="31"/>
          <w:shd w:val="clear" w:fill="FFFFFF"/>
          <w:lang w:eastAsia="zh-CN"/>
        </w:rPr>
        <w:t>。</w:t>
      </w:r>
    </w:p>
    <w:p w14:paraId="300900AA">
      <w:pPr>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方正楷体_GBK" w:hAnsi="方正楷体_GBK" w:eastAsia="方正楷体_GBK" w:cs="方正楷体_GBK"/>
          <w:sz w:val="32"/>
          <w:szCs w:val="32"/>
        </w:rPr>
      </w:pPr>
      <w:r>
        <w:rPr>
          <w:rFonts w:hint="eastAsia" w:ascii="楷体_GB2312" w:hAnsi="楷体_GB2312" w:eastAsia="楷体_GB2312" w:cs="楷体_GB2312"/>
          <w:b/>
          <w:bCs/>
          <w:sz w:val="32"/>
          <w:szCs w:val="32"/>
        </w:rPr>
        <w:t>（二）项目执行过程情况</w:t>
      </w:r>
    </w:p>
    <w:p w14:paraId="0AE8EA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rPr>
          <w:rFonts w:hint="eastAsia" w:ascii="仿宋_GB2312" w:hAnsi="微软雅黑" w:eastAsia="仿宋_GB2312" w:cs="仿宋_GB2312"/>
          <w:i w:val="0"/>
          <w:iCs w:val="0"/>
          <w:caps w:val="0"/>
          <w:color w:val="333333"/>
          <w:spacing w:val="0"/>
          <w:sz w:val="31"/>
          <w:szCs w:val="31"/>
          <w:shd w:val="clear" w:fill="FFFFFF"/>
        </w:rPr>
      </w:pPr>
      <w:r>
        <w:rPr>
          <w:rFonts w:hint="eastAsia" w:ascii="Times New Roman" w:hAnsi="Times New Roman" w:eastAsia="仿宋_GB2312" w:cs="Times New Roman"/>
          <w:kern w:val="2"/>
          <w:sz w:val="32"/>
          <w:szCs w:val="32"/>
          <w:lang w:val="en-US" w:eastAsia="zh-CN" w:bidi="ar-SA"/>
        </w:rPr>
        <w:t>1</w:t>
      </w:r>
      <w:r>
        <w:rPr>
          <w:rFonts w:hint="eastAsia" w:ascii="仿宋_GB2312" w:hAnsi="微软雅黑" w:eastAsia="仿宋_GB2312" w:cs="仿宋_GB2312"/>
          <w:i w:val="0"/>
          <w:iCs w:val="0"/>
          <w:caps w:val="0"/>
          <w:color w:val="333333"/>
          <w:spacing w:val="0"/>
          <w:sz w:val="31"/>
          <w:szCs w:val="31"/>
          <w:shd w:val="clear" w:fill="FFFFFF"/>
          <w:lang w:val="en-US" w:eastAsia="zh-CN"/>
        </w:rPr>
        <w:t>、</w:t>
      </w:r>
      <w:r>
        <w:rPr>
          <w:rFonts w:hint="eastAsia" w:ascii="仿宋_GB2312" w:hAnsi="微软雅黑" w:eastAsia="仿宋_GB2312" w:cs="仿宋_GB2312"/>
          <w:i w:val="0"/>
          <w:iCs w:val="0"/>
          <w:caps w:val="0"/>
          <w:color w:val="333333"/>
          <w:spacing w:val="0"/>
          <w:sz w:val="31"/>
          <w:szCs w:val="31"/>
          <w:shd w:val="clear" w:fill="FFFFFF"/>
        </w:rPr>
        <w:t>业务管理：管理制度健全、制度执行有效、项目质量可控。</w:t>
      </w:r>
    </w:p>
    <w:p w14:paraId="791AB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pPr>
      <w:r>
        <w:rPr>
          <w:rFonts w:hint="eastAsia" w:ascii="Times New Roman" w:hAnsi="Times New Roman" w:eastAsia="仿宋_GB2312" w:cs="Times New Roman"/>
          <w:kern w:val="2"/>
          <w:sz w:val="32"/>
          <w:szCs w:val="32"/>
          <w:lang w:val="en-US" w:eastAsia="zh-CN" w:bidi="ar-SA"/>
        </w:rPr>
        <w:t>2</w:t>
      </w:r>
      <w:r>
        <w:rPr>
          <w:rFonts w:hint="eastAsia" w:ascii="仿宋_GB2312" w:hAnsi="微软雅黑" w:eastAsia="仿宋_GB2312" w:cs="仿宋_GB2312"/>
          <w:i w:val="0"/>
          <w:iCs w:val="0"/>
          <w:caps w:val="0"/>
          <w:color w:val="333333"/>
          <w:spacing w:val="0"/>
          <w:sz w:val="31"/>
          <w:szCs w:val="31"/>
          <w:shd w:val="clear" w:fill="FFFFFF"/>
          <w:lang w:val="en-US" w:eastAsia="zh-CN"/>
        </w:rPr>
        <w:t>、</w:t>
      </w:r>
      <w:r>
        <w:rPr>
          <w:rFonts w:hint="eastAsia" w:ascii="仿宋_GB2312" w:hAnsi="微软雅黑" w:eastAsia="仿宋_GB2312" w:cs="仿宋_GB2312"/>
          <w:i w:val="0"/>
          <w:iCs w:val="0"/>
          <w:caps w:val="0"/>
          <w:color w:val="333333"/>
          <w:spacing w:val="0"/>
          <w:sz w:val="31"/>
          <w:szCs w:val="31"/>
          <w:shd w:val="clear" w:fill="FFFFFF"/>
        </w:rPr>
        <w:t>财政管理：管理制度健全、资金使用合规、财务监控有效。</w:t>
      </w:r>
    </w:p>
    <w:p w14:paraId="49EAF9C4">
      <w:pPr>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（三）项目支出产出情况</w:t>
      </w:r>
    </w:p>
    <w:p w14:paraId="28AA87EF">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b w:val="0"/>
          <w:bCs/>
          <w:sz w:val="32"/>
          <w:szCs w:val="32"/>
          <w:lang w:val="en-US" w:eastAsia="zh-CN"/>
        </w:rPr>
      </w:pPr>
      <w:r>
        <w:rPr>
          <w:rFonts w:hint="eastAsia" w:ascii="Times New Roman" w:hAnsi="Times New Roman" w:eastAsia="仿宋_GB2312" w:cs="Times New Roman"/>
          <w:b w:val="0"/>
          <w:caps w:val="0"/>
          <w:kern w:val="2"/>
          <w:sz w:val="32"/>
          <w:szCs w:val="32"/>
          <w:lang w:val="en-US" w:eastAsia="zh-CN" w:bidi="ar-SA"/>
        </w:rPr>
        <w:t>2023</w:t>
      </w:r>
      <w:r>
        <w:rPr>
          <w:rFonts w:hint="eastAsia" w:ascii="仿宋_GB2312" w:hAnsi="仿宋_GB2312" w:eastAsia="仿宋_GB2312" w:cs="仿宋_GB2312"/>
          <w:b w:val="0"/>
          <w:bCs/>
          <w:sz w:val="32"/>
          <w:szCs w:val="32"/>
          <w:lang w:val="en-US" w:eastAsia="zh-CN"/>
        </w:rPr>
        <w:t>年琼湖街道办事处圆满完成各项目年度计划工作任务。</w:t>
      </w:r>
    </w:p>
    <w:p w14:paraId="2A83C8FB">
      <w:pPr>
        <w:keepNext w:val="0"/>
        <w:keepLines w:val="0"/>
        <w:pageBreakBefore w:val="0"/>
        <w:kinsoku/>
        <w:wordWrap/>
        <w:overflowPunct/>
        <w:topLinePunct w:val="0"/>
        <w:autoSpaceDE/>
        <w:autoSpaceDN/>
        <w:bidi w:val="0"/>
        <w:adjustRightInd/>
        <w:snapToGrid/>
        <w:spacing w:line="56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项目支出效益情况</w:t>
      </w:r>
    </w:p>
    <w:p w14:paraId="7F8B68F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、经济效益</w:t>
      </w:r>
      <w:r>
        <w:rPr>
          <w:rFonts w:hint="eastAsia" w:ascii="仿宋_GB2312" w:hAnsi="仿宋_GB2312" w:eastAsia="仿宋_GB2312" w:cs="仿宋_GB2312"/>
          <w:color w:val="000000"/>
          <w:kern w:val="0"/>
          <w:sz w:val="32"/>
          <w:szCs w:val="32"/>
          <w:shd w:val="clear" w:color="auto" w:fill="FFFFFF"/>
        </w:rPr>
        <w:t xml:space="preserve"> </w:t>
      </w:r>
      <w:r>
        <w:rPr>
          <w:rFonts w:ascii="仿宋_GB2312" w:hAnsi="仿宋_GB2312" w:eastAsia="仿宋_GB2312" w:cs="仿宋_GB2312"/>
          <w:color w:val="000000"/>
          <w:kern w:val="0"/>
          <w:sz w:val="32"/>
          <w:szCs w:val="32"/>
          <w:shd w:val="clear" w:color="auto" w:fill="FFFFFF"/>
        </w:rPr>
        <w:t xml:space="preserve">                                       </w:t>
      </w:r>
    </w:p>
    <w:p w14:paraId="3455EBB0">
      <w:pPr>
        <w:keepNext w:val="0"/>
        <w:keepLines w:val="0"/>
        <w:pageBreakBefore w:val="0"/>
        <w:kinsoku/>
        <w:wordWrap/>
        <w:overflowPunct/>
        <w:topLinePunct w:val="0"/>
        <w:autoSpaceDE/>
        <w:autoSpaceDN/>
        <w:bidi w:val="0"/>
        <w:adjustRightInd/>
        <w:snapToGrid/>
        <w:spacing w:line="560" w:lineRule="exact"/>
        <w:ind w:left="0" w:leftChars="0" w:firstLine="640" w:firstLineChars="200"/>
      </w:pPr>
      <w:r>
        <w:rPr>
          <w:rFonts w:hint="eastAsia" w:ascii="仿宋_GB2312" w:hAnsi="仿宋" w:eastAsia="仿宋_GB2312" w:cs="仿宋"/>
          <w:sz w:val="32"/>
          <w:szCs w:val="32"/>
        </w:rPr>
        <w:t>坚持把产业振兴作为振兴经济的主要突破口，不断转变观念，抢抓各种发展机遇，进一步优化投资环境，</w:t>
      </w:r>
      <w:bookmarkStart w:id="0" w:name="_Hlk135829343"/>
      <w:r>
        <w:rPr>
          <w:rFonts w:hint="eastAsia" w:ascii="仿宋_GB2312" w:hAnsi="仿宋" w:eastAsia="仿宋_GB2312" w:cs="仿宋"/>
          <w:sz w:val="32"/>
          <w:szCs w:val="32"/>
        </w:rPr>
        <w:t>通过强化服务措</w:t>
      </w:r>
      <w:bookmarkEnd w:id="0"/>
      <w:r>
        <w:rPr>
          <w:rFonts w:hint="eastAsia" w:ascii="仿宋_GB2312" w:hAnsi="仿宋" w:eastAsia="仿宋_GB2312" w:cs="仿宋"/>
          <w:sz w:val="32"/>
          <w:szCs w:val="32"/>
        </w:rPr>
        <w:t>施，明确工作目标，有力地促进全街道经济健康持续发展。</w:t>
      </w:r>
    </w:p>
    <w:p w14:paraId="57B051A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kern w:val="2"/>
          <w:sz w:val="32"/>
          <w:szCs w:val="32"/>
        </w:rPr>
        <w:t>2、</w:t>
      </w:r>
      <w:r>
        <w:rPr>
          <w:rFonts w:hint="eastAsia" w:ascii="仿宋_GB2312" w:hAnsi="仿宋_GB2312" w:eastAsia="仿宋_GB2312" w:cs="仿宋_GB2312"/>
          <w:bCs/>
          <w:color w:val="000000"/>
          <w:sz w:val="32"/>
          <w:szCs w:val="32"/>
          <w:shd w:val="clear" w:color="auto" w:fill="FFFFFF"/>
        </w:rPr>
        <w:t>社会效益</w:t>
      </w:r>
    </w:p>
    <w:p w14:paraId="6C20B17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预防为主，主动作为，城区建设凸显成效，城区形象提档升级。</w:t>
      </w:r>
    </w:p>
    <w:p w14:paraId="3D73EFA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3、服务对象满意度方面</w:t>
      </w:r>
    </w:p>
    <w:p w14:paraId="1CF9E94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pPr>
      <w:r>
        <w:rPr>
          <w:rFonts w:hint="eastAsia" w:ascii="仿宋_GB2312" w:hAnsi="仿宋" w:eastAsia="仿宋_GB2312" w:cs="仿宋"/>
          <w:sz w:val="32"/>
          <w:szCs w:val="32"/>
        </w:rPr>
        <w:t>项目实施后，公共服务水平提升，居民生活幸福指数年年攀升，</w:t>
      </w:r>
      <w:r>
        <w:rPr>
          <w:rFonts w:hint="eastAsia" w:ascii="仿宋_GB2312" w:hAnsi="宋体" w:eastAsia="仿宋_GB2312" w:cs="仿宋_GB2312"/>
          <w:color w:val="000000"/>
          <w:sz w:val="32"/>
          <w:szCs w:val="32"/>
          <w:shd w:val="clear" w:color="auto" w:fill="FFFFFF"/>
        </w:rPr>
        <w:t>人民群众满意度进一步提高。</w:t>
      </w:r>
    </w:p>
    <w:p w14:paraId="1C315AEE">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eastAsia="黑体"/>
          <w:sz w:val="32"/>
          <w:szCs w:val="32"/>
        </w:rPr>
      </w:pPr>
      <w:r>
        <w:rPr>
          <w:rFonts w:eastAsia="黑体"/>
          <w:sz w:val="32"/>
          <w:szCs w:val="32"/>
        </w:rPr>
        <w:t>五、主要经验及做法、存在的问题及原因分析</w:t>
      </w:r>
    </w:p>
    <w:p w14:paraId="45602A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80" w:firstLineChars="200"/>
        <w:jc w:val="both"/>
        <w:rPr>
          <w:rFonts w:hint="eastAsia" w:ascii="楷体_GB2312" w:hAnsi="楷体_GB2312" w:eastAsia="楷体_GB2312" w:cs="楷体_GB2312"/>
          <w:b/>
          <w:bCs/>
          <w:kern w:val="2"/>
          <w:sz w:val="32"/>
          <w:szCs w:val="32"/>
          <w:lang w:val="en-US" w:eastAsia="zh-CN" w:bidi="ar-SA"/>
        </w:rPr>
      </w:pPr>
      <w:r>
        <w:rPr>
          <w:rFonts w:hint="eastAsia" w:ascii="微软雅黑" w:hAnsi="微软雅黑" w:eastAsia="微软雅黑" w:cs="微软雅黑"/>
          <w:i w:val="0"/>
          <w:iCs w:val="0"/>
          <w:caps w:val="0"/>
          <w:color w:val="333333"/>
          <w:spacing w:val="0"/>
          <w:sz w:val="24"/>
          <w:szCs w:val="24"/>
        </w:rPr>
        <w:t>　</w:t>
      </w:r>
      <w:r>
        <w:rPr>
          <w:rFonts w:hint="eastAsia" w:ascii="楷体_GB2312" w:hAnsi="楷体_GB2312" w:eastAsia="楷体_GB2312" w:cs="楷体_GB2312"/>
          <w:b/>
          <w:bCs/>
          <w:kern w:val="2"/>
          <w:sz w:val="32"/>
          <w:szCs w:val="32"/>
          <w:lang w:val="en-US" w:eastAsia="zh-CN" w:bidi="ar-SA"/>
        </w:rPr>
        <w:t>（一）基本经验及主要做法</w:t>
      </w:r>
    </w:p>
    <w:p w14:paraId="79E76F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80" w:firstLineChars="200"/>
        <w:jc w:val="both"/>
        <w:rPr>
          <w:rFonts w:hint="eastAsia" w:ascii="仿宋_GB2312" w:hAnsi="仿宋_GB2312" w:eastAsia="仿宋_GB2312" w:cs="仿宋_GB2312"/>
          <w:i w:val="0"/>
          <w:iCs w:val="0"/>
          <w:caps w:val="0"/>
          <w:color w:val="333333"/>
          <w:spacing w:val="0"/>
          <w:sz w:val="32"/>
          <w:szCs w:val="32"/>
        </w:rPr>
      </w:pPr>
      <w:r>
        <w:rPr>
          <w:rFonts w:hint="eastAsia" w:ascii="微软雅黑" w:hAnsi="微软雅黑" w:eastAsia="微软雅黑" w:cs="微软雅黑"/>
          <w:i w:val="0"/>
          <w:iCs w:val="0"/>
          <w:caps w:val="0"/>
          <w:color w:val="333333"/>
          <w:spacing w:val="0"/>
          <w:sz w:val="24"/>
          <w:szCs w:val="24"/>
        </w:rPr>
        <w:t>　</w:t>
      </w:r>
      <w:r>
        <w:rPr>
          <w:rFonts w:hint="eastAsia"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i w:val="0"/>
          <w:iCs w:val="0"/>
          <w:caps w:val="0"/>
          <w:color w:val="333333"/>
          <w:spacing w:val="0"/>
          <w:sz w:val="32"/>
          <w:szCs w:val="32"/>
        </w:rPr>
        <w:t>、坚定不移的完成全年收入目标任务。一是着力做好农业生产和工业发展支柱产业的发展，千方百计做优做强支柱财源，二是组建专门工作班子，集中精力、集中人力狠抓乡镇经济效益。</w:t>
      </w:r>
    </w:p>
    <w:p w14:paraId="48C08B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Times New Roman" w:hAnsi="Times New Roman" w:eastAsia="仿宋_GB2312" w:cs="Times New Roman"/>
          <w:kern w:val="2"/>
          <w:sz w:val="32"/>
          <w:szCs w:val="32"/>
          <w:lang w:val="en-US" w:eastAsia="zh-CN" w:bidi="ar-SA"/>
        </w:rPr>
        <w:t>2</w:t>
      </w:r>
      <w:r>
        <w:rPr>
          <w:rFonts w:hint="eastAsia" w:ascii="仿宋_GB2312" w:hAnsi="仿宋_GB2312" w:eastAsia="仿宋_GB2312" w:cs="仿宋_GB2312"/>
          <w:i w:val="0"/>
          <w:iCs w:val="0"/>
          <w:caps w:val="0"/>
          <w:color w:val="333333"/>
          <w:spacing w:val="0"/>
          <w:sz w:val="32"/>
          <w:szCs w:val="32"/>
        </w:rPr>
        <w:t>、狠抓勤俭节约，坚决反对铺张浪费。要切实按照建设节约型社会的要求，严格控制各项支出，坚持勤俭办事，节约办事的原则，坚持反对和制止奢侈浪费，真正把钱用在刀刃上，要严格落实</w:t>
      </w:r>
      <w:r>
        <w:rPr>
          <w:rFonts w:hint="eastAsia" w:ascii="仿宋_GB2312" w:hAnsi="仿宋_GB2312" w:eastAsia="仿宋_GB2312" w:cs="仿宋_GB2312"/>
          <w:i w:val="0"/>
          <w:iCs w:val="0"/>
          <w:caps w:val="0"/>
          <w:color w:val="333333"/>
          <w:spacing w:val="0"/>
          <w:sz w:val="32"/>
          <w:szCs w:val="32"/>
          <w:lang w:eastAsia="zh-CN"/>
        </w:rPr>
        <w:t>市</w:t>
      </w:r>
      <w:r>
        <w:rPr>
          <w:rFonts w:hint="eastAsia" w:ascii="仿宋_GB2312" w:hAnsi="仿宋_GB2312" w:eastAsia="仿宋_GB2312" w:cs="仿宋_GB2312"/>
          <w:i w:val="0"/>
          <w:iCs w:val="0"/>
          <w:caps w:val="0"/>
          <w:color w:val="333333"/>
          <w:spacing w:val="0"/>
          <w:sz w:val="32"/>
          <w:szCs w:val="32"/>
        </w:rPr>
        <w:t>委关于进一步加强行政事业单位公务接待、公务用车管理等一系列文件精神，进一步改革和完善财政管理制度，进一步规范财政支出管理和监督，切实保障重点支出需要，特别是新农村建设、民生福祉安康建设基金和政府正常运转需要。</w:t>
      </w:r>
    </w:p>
    <w:p w14:paraId="23906B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（二）存在的问题及原因</w:t>
      </w:r>
    </w:p>
    <w:p w14:paraId="0C6D75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pPr>
      <w:r>
        <w:rPr>
          <w:rFonts w:hint="eastAsia" w:ascii="仿宋_GB2312" w:hAnsi="仿宋_GB2312" w:eastAsia="仿宋_GB2312" w:cs="仿宋_GB2312"/>
          <w:i w:val="0"/>
          <w:iCs w:val="0"/>
          <w:caps w:val="0"/>
          <w:color w:val="333333"/>
          <w:spacing w:val="0"/>
          <w:sz w:val="32"/>
          <w:szCs w:val="32"/>
        </w:rPr>
        <w:t>对于财政资金绩效评价工作的了解不够深入，容易把预算绩效等同于工作目标、工作考核和业务管理。绩效目标和指标也只是根据项目实际完成情况制定，对项目执行过程有效约束不够，存在一定的偏差。在绩效考评指标的设计上，部分特色指标缺乏支持和可行的分析测评，绩效指标体系有待完善。</w:t>
      </w:r>
    </w:p>
    <w:p w14:paraId="2FEED6D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eastAsia="黑体"/>
          <w:sz w:val="32"/>
          <w:szCs w:val="32"/>
        </w:rPr>
      </w:pPr>
      <w:r>
        <w:rPr>
          <w:rFonts w:hint="eastAsia" w:ascii="Calibri" w:hAnsi="Calibri" w:eastAsia="黑体" w:cs="Times New Roman"/>
          <w:kern w:val="2"/>
          <w:sz w:val="32"/>
          <w:szCs w:val="32"/>
          <w:lang w:val="en-US" w:eastAsia="zh-CN" w:bidi="ar-SA"/>
        </w:rPr>
        <w:t>六、</w:t>
      </w:r>
      <w:r>
        <w:rPr>
          <w:rFonts w:eastAsia="黑体"/>
          <w:sz w:val="32"/>
          <w:szCs w:val="32"/>
        </w:rPr>
        <w:t>有关建议</w:t>
      </w:r>
    </w:p>
    <w:p w14:paraId="45B705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rPr>
        <w:t>采取有力的措施，加大资金争取力度；</w:t>
      </w:r>
    </w:p>
    <w:p w14:paraId="6BDFCA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2、</w:t>
      </w:r>
      <w:r>
        <w:rPr>
          <w:rFonts w:hint="eastAsia" w:ascii="仿宋_GB2312" w:hAnsi="仿宋_GB2312" w:eastAsia="仿宋_GB2312" w:cs="仿宋_GB2312"/>
          <w:i w:val="0"/>
          <w:iCs w:val="0"/>
          <w:caps w:val="0"/>
          <w:color w:val="333333"/>
          <w:spacing w:val="0"/>
          <w:sz w:val="32"/>
          <w:szCs w:val="32"/>
        </w:rPr>
        <w:t>加强绩效评价管理制度和流程的建设，进一步深化、完善绩效管理体系，建立全过程的预算绩效管理机制；</w:t>
      </w:r>
    </w:p>
    <w:p w14:paraId="6D2F2D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pPr>
      <w:r>
        <w:rPr>
          <w:rFonts w:hint="eastAsia" w:ascii="仿宋_GB2312" w:hAnsi="仿宋_GB2312" w:eastAsia="仿宋_GB2312" w:cs="仿宋_GB2312"/>
          <w:i w:val="0"/>
          <w:iCs w:val="0"/>
          <w:caps w:val="0"/>
          <w:color w:val="333333"/>
          <w:spacing w:val="0"/>
          <w:sz w:val="32"/>
          <w:szCs w:val="32"/>
          <w:lang w:val="en-US" w:eastAsia="zh-CN"/>
        </w:rPr>
        <w:t>3、</w:t>
      </w:r>
      <w:r>
        <w:rPr>
          <w:rFonts w:hint="eastAsia" w:ascii="仿宋_GB2312" w:hAnsi="仿宋_GB2312" w:eastAsia="仿宋_GB2312" w:cs="仿宋_GB2312"/>
          <w:i w:val="0"/>
          <w:iCs w:val="0"/>
          <w:caps w:val="0"/>
          <w:color w:val="333333"/>
          <w:spacing w:val="0"/>
          <w:sz w:val="32"/>
          <w:szCs w:val="32"/>
        </w:rPr>
        <w:t>规范绩效评价管理资料的收集整理，确保相关信息完善、可靠，客观公正地反映项目资金实际使用和产生的绩效状况。</w:t>
      </w:r>
    </w:p>
    <w:p w14:paraId="4EF7CE16">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eastAsia="黑体"/>
          <w:sz w:val="32"/>
          <w:szCs w:val="32"/>
        </w:rPr>
      </w:pPr>
      <w:r>
        <w:rPr>
          <w:rFonts w:eastAsia="黑体"/>
          <w:sz w:val="32"/>
          <w:szCs w:val="32"/>
        </w:rPr>
        <w:t>七、其他需要说明的问题</w:t>
      </w:r>
    </w:p>
    <w:p w14:paraId="59309DB0">
      <w:pPr>
        <w:keepNext w:val="0"/>
        <w:keepLines w:val="0"/>
        <w:pageBreakBefore w:val="0"/>
        <w:tabs>
          <w:tab w:val="left" w:pos="1603"/>
        </w:tabs>
        <w:kinsoku/>
        <w:wordWrap/>
        <w:overflowPunct/>
        <w:topLinePunct w:val="0"/>
        <w:autoSpaceDE/>
        <w:autoSpaceDN/>
        <w:bidi w:val="0"/>
        <w:adjustRightInd/>
        <w:snapToGrid/>
        <w:spacing w:line="560"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75AEFE92">
      <w:pPr>
        <w:rPr>
          <w:rFonts w:hint="eastAsia" w:ascii="仿宋_GB2312" w:hAnsi="仿宋_GB2312" w:eastAsia="仿宋_GB2312" w:cs="仿宋_GB2312"/>
          <w:sz w:val="32"/>
          <w:szCs w:val="32"/>
        </w:rPr>
      </w:pPr>
    </w:p>
    <w:p w14:paraId="33B5E17B">
      <w:pPr>
        <w:pStyle w:val="6"/>
        <w:rPr>
          <w:rFonts w:hint="eastAsia" w:ascii="仿宋_GB2312" w:hAnsi="仿宋_GB2312" w:eastAsia="仿宋_GB2312" w:cs="仿宋_GB2312"/>
          <w:sz w:val="32"/>
          <w:szCs w:val="32"/>
        </w:rPr>
      </w:pPr>
    </w:p>
    <w:p w14:paraId="61B3517E">
      <w:pPr>
        <w:pStyle w:val="6"/>
        <w:rPr>
          <w:rFonts w:hint="eastAsia" w:ascii="仿宋_GB2312" w:hAnsi="仿宋_GB2312" w:eastAsia="仿宋_GB2312" w:cs="仿宋_GB2312"/>
          <w:sz w:val="32"/>
          <w:szCs w:val="32"/>
        </w:rPr>
      </w:pPr>
    </w:p>
    <w:p w14:paraId="11195D5A">
      <w:pPr>
        <w:pStyle w:val="6"/>
        <w:rPr>
          <w:rFonts w:hint="eastAsia" w:ascii="仿宋_GB2312" w:hAnsi="仿宋_GB2312" w:eastAsia="仿宋_GB2312" w:cs="仿宋_GB2312"/>
          <w:sz w:val="32"/>
          <w:szCs w:val="32"/>
        </w:rPr>
      </w:pPr>
    </w:p>
    <w:p w14:paraId="1B23DF64">
      <w:pPr>
        <w:pStyle w:val="6"/>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沅江市琼湖街道办事处</w:t>
      </w:r>
    </w:p>
    <w:p w14:paraId="7C4AA5D3">
      <w:pPr>
        <w:pStyle w:val="6"/>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2025年5月21日</w:t>
      </w:r>
      <w:bookmarkStart w:id="1" w:name="_GoBack"/>
      <w:bookmarkEnd w:id="1"/>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å®‹ä½“">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Arabic Typesetting">
    <w:panose1 w:val="03020402040406030203"/>
    <w:charset w:val="00"/>
    <w:family w:val="auto"/>
    <w:pitch w:val="default"/>
    <w:sig w:usb0="A000206F" w:usb1="C0000000" w:usb2="00000008" w:usb3="00000000" w:csb0="200000D3" w:csb1="00000000"/>
  </w:font>
  <w:font w:name="David">
    <w:panose1 w:val="020E0502060401010101"/>
    <w:charset w:val="00"/>
    <w:family w:val="auto"/>
    <w:pitch w:val="default"/>
    <w:sig w:usb0="00000801" w:usb1="00000000" w:usb2="00000000" w:usb3="00000000" w:csb0="00000020" w:csb1="00200000"/>
  </w:font>
  <w:font w:name="Georgia">
    <w:panose1 w:val="02040502050405020303"/>
    <w:charset w:val="00"/>
    <w:family w:val="auto"/>
    <w:pitch w:val="default"/>
    <w:sig w:usb0="00000287" w:usb1="00000000" w:usb2="00000000" w:usb3="00000000" w:csb0="2000009F" w:csb1="00000000"/>
  </w:font>
  <w:font w:name="Kartika">
    <w:panose1 w:val="02020503030404060203"/>
    <w:charset w:val="00"/>
    <w:family w:val="auto"/>
    <w:pitch w:val="default"/>
    <w:sig w:usb0="00800003" w:usb1="00000000" w:usb2="00000000" w:usb3="00000000" w:csb0="00000001" w:csb1="00000000"/>
  </w:font>
  <w:font w:name="Levenim MT">
    <w:panose1 w:val="02010502060101010101"/>
    <w:charset w:val="00"/>
    <w:family w:val="auto"/>
    <w:pitch w:val="default"/>
    <w:sig w:usb0="00000801" w:usb1="00000000" w:usb2="00000000" w:usb3="00000000" w:csb0="00000020" w:csb1="00200000"/>
  </w:font>
  <w:font w:name="MoolBoran">
    <w:panose1 w:val="020B0100010101010101"/>
    <w:charset w:val="00"/>
    <w:family w:val="auto"/>
    <w:pitch w:val="default"/>
    <w:sig w:usb0="8000000F" w:usb1="0000204A" w:usb2="00010000" w:usb3="00000000" w:csb0="00000001" w:csb1="00000000"/>
  </w:font>
  <w:font w:name="Rod">
    <w:panose1 w:val="02030509050101010101"/>
    <w:charset w:val="00"/>
    <w:family w:val="auto"/>
    <w:pitch w:val="default"/>
    <w:sig w:usb0="00000801" w:usb1="00000000" w:usb2="00000000" w:usb3="00000000" w:csb0="00000020" w:csb1="00200000"/>
  </w:font>
  <w:font w:name="Sakkal Majalla">
    <w:panose1 w:val="02000000000000000000"/>
    <w:charset w:val="00"/>
    <w:family w:val="auto"/>
    <w:pitch w:val="default"/>
    <w:sig w:usb0="A000207F" w:usb1="C000204B" w:usb2="00000008" w:usb3="00000000" w:csb0="200000D3" w:csb1="00000000"/>
  </w:font>
  <w:font w:name="Simplified Arabic">
    <w:panose1 w:val="02020603050405020304"/>
    <w:charset w:val="00"/>
    <w:family w:val="auto"/>
    <w:pitch w:val="default"/>
    <w:sig w:usb0="00002003" w:usb1="00000000" w:usb2="00000000" w:usb3="00000000" w:csb0="00000041" w:csb1="20080000"/>
  </w:font>
  <w:font w:name="Tunga">
    <w:panose1 w:val="020B0502040204020203"/>
    <w:charset w:val="00"/>
    <w:family w:val="auto"/>
    <w:pitch w:val="default"/>
    <w:sig w:usb0="004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Utsaah">
    <w:panose1 w:val="020B0604020202020204"/>
    <w:charset w:val="00"/>
    <w:family w:val="auto"/>
    <w:pitch w:val="default"/>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ZjQxNzM1ZDBiZWI2YWUwZGYwZmJmZjU3ZDA5MjQifQ=="/>
  </w:docVars>
  <w:rsids>
    <w:rsidRoot w:val="52F867C1"/>
    <w:rsid w:val="081E4B5F"/>
    <w:rsid w:val="13396D08"/>
    <w:rsid w:val="41C85E77"/>
    <w:rsid w:val="52F867C1"/>
    <w:rsid w:val="60385CED"/>
    <w:rsid w:val="6C870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340" w:lineRule="exact"/>
    </w:pPr>
    <w:rPr>
      <w:rFonts w:ascii="华文中宋" w:hAnsi="华文中宋" w:eastAsia="华文中宋" w:cstheme="minorBidi"/>
      <w:b/>
      <w:caps/>
      <w:sz w:val="24"/>
      <w:szCs w:val="22"/>
    </w:rPr>
  </w:style>
  <w:style w:type="paragraph" w:styleId="3">
    <w:name w:val="Normal (Web)"/>
    <w:basedOn w:val="1"/>
    <w:qFormat/>
    <w:uiPriority w:val="0"/>
    <w:pPr>
      <w:spacing w:before="100" w:beforeAutospacing="1" w:after="100" w:afterAutospacing="1"/>
      <w:jc w:val="left"/>
    </w:pPr>
    <w:rPr>
      <w:kern w:val="0"/>
      <w:sz w:val="24"/>
    </w:rPr>
  </w:style>
  <w:style w:type="paragraph" w:customStyle="1" w:styleId="6">
    <w:name w:val="BodyText1I2"/>
    <w:basedOn w:val="7"/>
    <w:autoRedefine/>
    <w:qFormat/>
    <w:uiPriority w:val="0"/>
    <w:pPr>
      <w:ind w:firstLine="420"/>
    </w:pPr>
  </w:style>
  <w:style w:type="paragraph" w:customStyle="1" w:styleId="7">
    <w:name w:val="BodyTextIndent"/>
    <w:basedOn w:val="1"/>
    <w:autoRedefine/>
    <w:qFormat/>
    <w:uiPriority w:val="0"/>
    <w:pPr>
      <w:spacing w:after="120"/>
      <w:ind w:left="420" w:leftChars="200" w:firstLine="200" w:firstLineChars="200"/>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2420</Words>
  <Characters>2650</Characters>
  <Lines>0</Lines>
  <Paragraphs>0</Paragraphs>
  <TotalTime>4</TotalTime>
  <ScaleCrop>false</ScaleCrop>
  <LinksUpToDate>false</LinksUpToDate>
  <CharactersWithSpaces>2721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2024-05-16T08:18:00Z</dcterms:created>
  <dc:creator>G</dc:creator>
  <cp:lastModifiedBy>G</cp:lastModifiedBy>
  <cp:lastPrinted>2024-05-16T08:30:00Z</cp:lastPrinted>
  <dcterms:modified xsi:type="dcterms:W3CDTF">2025-05-21T07:37:19Z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1E10B934408C4CD8AC2CFFCF83480BC6_13</vt:lpwstr>
  </property>
  <property fmtid="{D5CDD505-2E9C-101B-9397-08002B2CF9AE}" pid="4" name="KSOTemplateDocerSaveRecord">
    <vt:lpwstr>eyJoZGlkIjoiNzg3ZjQxNzM1ZDBiZWI2YWUwZGYwZmJmZjU3ZDA5MjQiLCJ1c2VySWQiOiIxNTU1MDI4OTA5In0=</vt:lpwstr>
  </property>
</Properties>
</file>