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F08C6">
      <w:pPr>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沅江市</w:t>
      </w:r>
      <w:r>
        <w:rPr>
          <w:rFonts w:ascii="方正小标宋简体" w:eastAsia="方正小标宋简体"/>
          <w:sz w:val="44"/>
          <w:szCs w:val="44"/>
        </w:rPr>
        <w:t>琼湖街道办事处</w:t>
      </w:r>
    </w:p>
    <w:p w14:paraId="2016D543">
      <w:pPr>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2024年部门</w:t>
      </w:r>
      <w:r>
        <w:rPr>
          <w:rFonts w:ascii="方正小标宋简体" w:eastAsia="方正小标宋简体"/>
          <w:sz w:val="44"/>
          <w:szCs w:val="44"/>
        </w:rPr>
        <w:t>整体支出绩效自评报告</w:t>
      </w:r>
    </w:p>
    <w:p w14:paraId="26BE5EE4">
      <w:pPr>
        <w:spacing w:line="600" w:lineRule="exact"/>
        <w:ind w:firstLine="640" w:firstLineChars="200"/>
        <w:jc w:val="left"/>
        <w:rPr>
          <w:rFonts w:ascii="黑体" w:hAnsi="黑体" w:eastAsia="黑体"/>
          <w:sz w:val="32"/>
          <w:szCs w:val="32"/>
        </w:rPr>
      </w:pPr>
    </w:p>
    <w:p w14:paraId="2A42652A">
      <w:pPr>
        <w:spacing w:line="640" w:lineRule="exact"/>
        <w:ind w:firstLine="640" w:firstLineChars="200"/>
        <w:jc w:val="lef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、部门概况</w:t>
      </w:r>
    </w:p>
    <w:p w14:paraId="72A63A1C">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（一）部门职能概述</w:t>
      </w:r>
    </w:p>
    <w:p w14:paraId="607E05FA">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琼湖街道办事处贯彻落实党中央关于街道工作的方针政策和决策部署,全面落实省委、益阳市委、沅江市委关于街道工作的部署要求，在履行职责过程中坚持和加强党对街道工作的集中统一领导。领导本地区经济、政治、文化、社会、生态文明建设等各项工作和基层社会治理；依法行使政府管理和服务职能。</w:t>
      </w:r>
    </w:p>
    <w:p w14:paraId="180FF97F">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1、加强党的建设：以党的建设为引领，全面加强基层政权和基层组织建设；落实基层党建工作责任制，统筹街道社区和村的党建，加强非公有制经济组织和社会组织党建工作，实现党的组织和工作全覆盖。不断提高党的建设质量，落实管党治党责任，推动全面从严治党向基层延伸。</w:t>
      </w:r>
    </w:p>
    <w:p w14:paraId="44759EE5">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2、推进区域发展：根据经济社会发展特点，统筹制定并落实辖区发展的重大决策和建设规划。统筹做好采集企业信息、促进项目发展、服务辖区内企业、优化投资环境、人才服务、创业创新服务等工作。指导农村经济发展，推进农业结构调整，建立健全减轻农民负担的监督管理机制，促进农民增收，实施乡村振兴战略，全面推进新农村建设。</w:t>
      </w:r>
    </w:p>
    <w:p w14:paraId="23364D84">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3、组织公共服务：围绕街道发展定位和工作目标，负责实施辖区公共服务设施建设规划，组织实施与群众生活密切相关的各项公共服务，完善社区（村）、教育、医疗等公共配套服务设施，落实人力资源和社会保障、医疗保障、民政、教育、科技、文化体育、卫生健康、退役军人等方面相关政策。</w:t>
      </w:r>
    </w:p>
    <w:p w14:paraId="05CF8CFE">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4、实施公共管理：承担辖区内城乡管理、人口管理、社会管理等工作的组织领导、推进实施、综合协调职责，实施辖区内相关行政事务的常态化管理。</w:t>
      </w:r>
    </w:p>
    <w:p w14:paraId="3037F10E">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5、维护公共安全：负责辖区平安建设、社会治安综合治理、应急管理、公共安全等相关工作；处理群众来信来访，反映社情民意，化解矛盾纠纷等。抓好法制宣传和普法教育，提高城乡居民的法律素质，保护公民和各类经济组织的合法权益。</w:t>
      </w:r>
    </w:p>
    <w:p w14:paraId="56D29A0B">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6、加强监管执法：负责辖区内的综合行政执法管理工作，对辖区内各类行政执法工作进行统筹协调；加强市场监管、安全生产监管、生态环境保护监管和消防安全监管等工作。</w:t>
      </w:r>
    </w:p>
    <w:p w14:paraId="6A4EA2A5">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7、领导基层自治：领导村委会、社区居委会建设，加强政治引领和能力建设，推进街道政务公开、居（村）务公开，接受群众和社会监督；组织城乡居民（村民）和单位参与社区（村）建设和管理。</w:t>
      </w:r>
    </w:p>
    <w:p w14:paraId="54E0565F">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8、动员社会参与：动员辖区内各类单位、社会组织和城乡居民等社会力量参与社会治理，引导辖区内单位履行社会责任，整合区域内各种社会力量为街道、社区（村）发展服务。</w:t>
      </w:r>
    </w:p>
    <w:p w14:paraId="5188C3F8">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9、职能转变：全面加强基层党的建设，提升党建引领基层治理的能力。优化公共服务，为经济社会发展提供良好的营商环境。加强对辖区内综合管理工作的组织实施和统筹协调职责。加强辖区内与居民（村民）密切相关的行政审批和公共服务的组织实施职责。加强维护辖区公共安全职责。</w:t>
      </w:r>
    </w:p>
    <w:p w14:paraId="06447AD6">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10、承办市委、市政府交办的其他任务。</w:t>
      </w:r>
    </w:p>
    <w:p w14:paraId="5BD5E416">
      <w:pPr>
        <w:spacing w:line="640" w:lineRule="exact"/>
        <w:ind w:firstLine="640"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（二）部门组织机构</w:t>
      </w:r>
    </w:p>
    <w:p w14:paraId="220A9BBE">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琼湖街道办事处内设股室</w:t>
      </w:r>
      <w:r>
        <w:rPr>
          <w:rFonts w:hint="eastAsia" w:ascii="Times New Roman" w:hAnsi="Times New Roman" w:eastAsia="仿宋_GB2312" w:cs="Times New Roman"/>
          <w:sz w:val="32"/>
          <w:szCs w:val="32"/>
        </w:rPr>
        <w:t>6</w:t>
      </w:r>
      <w:r>
        <w:rPr>
          <w:rFonts w:hint="eastAsia" w:ascii="仿宋_GB2312" w:hAnsi="方正仿宋简体" w:eastAsia="仿宋_GB2312" w:cs="方正仿宋简体"/>
          <w:sz w:val="32"/>
          <w:szCs w:val="32"/>
        </w:rPr>
        <w:t>个，所属事业单位</w:t>
      </w:r>
      <w:r>
        <w:rPr>
          <w:rFonts w:hint="eastAsia" w:ascii="Times New Roman" w:hAnsi="Times New Roman" w:eastAsia="仿宋_GB2312" w:cs="Times New Roman"/>
          <w:sz w:val="32"/>
          <w:szCs w:val="32"/>
        </w:rPr>
        <w:t>5</w:t>
      </w:r>
      <w:r>
        <w:rPr>
          <w:rFonts w:hint="eastAsia" w:ascii="仿宋_GB2312" w:hAnsi="方正仿宋简体" w:eastAsia="仿宋_GB2312" w:cs="方正仿宋简体"/>
          <w:sz w:val="32"/>
          <w:szCs w:val="32"/>
        </w:rPr>
        <w:t>个：</w:t>
      </w:r>
    </w:p>
    <w:p w14:paraId="4EC608B6">
      <w:pPr>
        <w:autoSpaceDE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内设股室分别是党政办公室、党建办公室、经济发展办公室、平安法治和应急管理办公室、生态办公室、财政办公室。</w:t>
      </w:r>
    </w:p>
    <w:p w14:paraId="0F5FF18A">
      <w:pPr>
        <w:autoSpaceDE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所属事业单位分别是琼湖街道综合行政执法大队、琼湖街道社会事务综合服务中心、琼湖街道农业综合服务中心、琼湖街道退役军人服务站、琼湖街道自然资源和村镇建设事务中心。</w:t>
      </w:r>
    </w:p>
    <w:p w14:paraId="1680D4C7">
      <w:pPr>
        <w:autoSpaceDE w:val="0"/>
        <w:spacing w:line="640" w:lineRule="exact"/>
        <w:ind w:firstLine="640" w:firstLineChars="200"/>
        <w:rPr>
          <w:rFonts w:ascii="楷体" w:hAnsi="楷体" w:eastAsia="楷体" w:cs="宋体"/>
          <w:b/>
          <w:kern w:val="0"/>
          <w:sz w:val="32"/>
          <w:szCs w:val="32"/>
        </w:rPr>
      </w:pPr>
      <w:r>
        <w:rPr>
          <w:rFonts w:hint="eastAsia" w:ascii="楷体_GB2312" w:hAnsi="楷体_GB2312" w:eastAsia="楷体_GB2312" w:cs="楷体_GB2312"/>
          <w:bCs/>
          <w:kern w:val="0"/>
          <w:sz w:val="32"/>
          <w:szCs w:val="32"/>
        </w:rPr>
        <w:t>（三）人员情况</w:t>
      </w:r>
    </w:p>
    <w:p w14:paraId="190AF6B8">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沅江市琼湖街道办事处是财政全额拨款单位，目前实有在职人员</w:t>
      </w:r>
      <w:r>
        <w:rPr>
          <w:rFonts w:hint="eastAsia" w:ascii="Times New Roman" w:hAnsi="Times New Roman" w:eastAsia="仿宋_GB2312" w:cs="Times New Roman"/>
          <w:sz w:val="32"/>
          <w:szCs w:val="32"/>
        </w:rPr>
        <w:t>168</w:t>
      </w:r>
      <w:r>
        <w:rPr>
          <w:rFonts w:hint="eastAsia" w:ascii="仿宋_GB2312" w:hAnsi="方正仿宋简体" w:eastAsia="仿宋_GB2312" w:cs="方正仿宋简体"/>
          <w:sz w:val="32"/>
          <w:szCs w:val="32"/>
        </w:rPr>
        <w:t>人，</w:t>
      </w:r>
      <w:r>
        <w:rPr>
          <w:rFonts w:ascii="仿宋_GB2312" w:hAnsi="方正仿宋简体" w:eastAsia="仿宋_GB2312" w:cs="方正仿宋简体"/>
          <w:sz w:val="32"/>
          <w:szCs w:val="32"/>
        </w:rPr>
        <w:t>其中：行政编制</w:t>
      </w:r>
      <w:r>
        <w:rPr>
          <w:rFonts w:hint="eastAsia" w:ascii="Times New Roman" w:hAnsi="Times New Roman" w:eastAsia="仿宋_GB2312" w:cs="Times New Roman"/>
          <w:sz w:val="32"/>
          <w:szCs w:val="32"/>
        </w:rPr>
        <w:t>89</w:t>
      </w:r>
      <w:r>
        <w:rPr>
          <w:rFonts w:hint="eastAsia" w:ascii="仿宋_GB2312" w:hAnsi="方正仿宋简体" w:eastAsia="仿宋_GB2312" w:cs="方正仿宋简体"/>
          <w:sz w:val="32"/>
          <w:szCs w:val="32"/>
        </w:rPr>
        <w:t>人</w:t>
      </w:r>
      <w:r>
        <w:rPr>
          <w:rFonts w:ascii="仿宋_GB2312" w:hAnsi="方正仿宋简体" w:eastAsia="仿宋_GB2312" w:cs="方正仿宋简体"/>
          <w:sz w:val="32"/>
          <w:szCs w:val="32"/>
        </w:rPr>
        <w:t>，事业编制</w:t>
      </w:r>
      <w:r>
        <w:rPr>
          <w:rFonts w:hint="eastAsia" w:ascii="Times New Roman" w:hAnsi="Times New Roman" w:eastAsia="仿宋_GB2312" w:cs="Times New Roman"/>
          <w:sz w:val="32"/>
          <w:szCs w:val="32"/>
        </w:rPr>
        <w:t>76</w:t>
      </w:r>
      <w:r>
        <w:rPr>
          <w:rFonts w:hint="eastAsia" w:ascii="仿宋_GB2312" w:hAnsi="方正仿宋简体" w:eastAsia="仿宋_GB2312" w:cs="方正仿宋简体"/>
          <w:sz w:val="32"/>
          <w:szCs w:val="32"/>
        </w:rPr>
        <w:t>人</w:t>
      </w:r>
      <w:r>
        <w:rPr>
          <w:rFonts w:ascii="仿宋_GB2312" w:hAnsi="方正仿宋简体" w:eastAsia="仿宋_GB2312" w:cs="方正仿宋简体"/>
          <w:sz w:val="32"/>
          <w:szCs w:val="32"/>
        </w:rPr>
        <w:t>，劳务派遣</w:t>
      </w:r>
      <w:r>
        <w:rPr>
          <w:rFonts w:hint="eastAsia" w:ascii="Times New Roman" w:hAnsi="Times New Roman" w:eastAsia="仿宋_GB2312" w:cs="Times New Roman"/>
          <w:sz w:val="32"/>
          <w:szCs w:val="32"/>
        </w:rPr>
        <w:t>3</w:t>
      </w:r>
      <w:r>
        <w:rPr>
          <w:rFonts w:hint="eastAsia" w:ascii="仿宋_GB2312" w:hAnsi="方正仿宋简体" w:eastAsia="仿宋_GB2312" w:cs="方正仿宋简体"/>
          <w:sz w:val="32"/>
          <w:szCs w:val="32"/>
        </w:rPr>
        <w:t>人</w:t>
      </w:r>
      <w:r>
        <w:rPr>
          <w:rFonts w:ascii="仿宋_GB2312" w:hAnsi="方正仿宋简体" w:eastAsia="仿宋_GB2312" w:cs="方正仿宋简体"/>
          <w:sz w:val="32"/>
          <w:szCs w:val="32"/>
        </w:rPr>
        <w:t>。</w:t>
      </w:r>
    </w:p>
    <w:p w14:paraId="0659F3A9">
      <w:pPr>
        <w:autoSpaceDE w:val="0"/>
        <w:spacing w:line="640" w:lineRule="exact"/>
        <w:ind w:firstLine="640" w:firstLineChars="200"/>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（四）年度重点工作</w:t>
      </w:r>
    </w:p>
    <w:p w14:paraId="25973AC1">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1、全力推进文明城市创建工作</w:t>
      </w:r>
    </w:p>
    <w:p w14:paraId="6012EF4F">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琼湖街道坚持以问题为导向，抓细抓小抓实，逐一整改落实，对辖区内楼道口、绿化带及卫生死角集中清理；开展“三微”项目建设工作，对老旧小区、弃管小区集中整治，用细致的规划展开全面的建设，用最短的时间解决群众的诉求，让群众幸福感不断增强，提高群众对创建工作的知晓率、参与率。</w:t>
      </w:r>
    </w:p>
    <w:p w14:paraId="43ACD282">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2、改善农村人居环境</w:t>
      </w:r>
    </w:p>
    <w:p w14:paraId="4D069958">
      <w:pPr>
        <w:snapToGrid w:val="0"/>
        <w:spacing w:line="560" w:lineRule="exact"/>
        <w:ind w:firstLine="640" w:firstLineChars="200"/>
        <w:rPr>
          <w:rFonts w:hint="eastAsia" w:eastAsia="华文中宋"/>
        </w:rPr>
      </w:pPr>
      <w:r>
        <w:rPr>
          <w:rFonts w:hint="eastAsia" w:ascii="仿宋_GB2312" w:hAnsi="仿宋_GB2312" w:eastAsia="仿宋_GB2312" w:cs="仿宋_GB2312"/>
          <w:sz w:val="32"/>
          <w:szCs w:val="32"/>
        </w:rPr>
        <w:t>琼湖街道始终牢记习近平总书记“以实施乡村建设行动为抓手，改善农村人居环境，建设宜居宜业美丽乡村”的殷殷嘱托，将实施乡村振兴战略中“生态宜居”作为重点工程抓实抓好，稳步推进全域人居环境整治工作；街道积极响应市委市政府的号召，街道工委，办事处以河湖长制为抓手，强化对水葫芦问题的交办、督办，联合外包公司对北干渠、南干渠、东干渠、西干渠等流域进行水葫芦及水上漂浮物打捞清理。</w:t>
      </w:r>
    </w:p>
    <w:p w14:paraId="28175A56">
      <w:pPr>
        <w:autoSpaceDE w:val="0"/>
        <w:spacing w:line="640" w:lineRule="exact"/>
        <w:ind w:firstLine="640" w:firstLineChars="200"/>
        <w:rPr>
          <w:rFonts w:ascii="楷体_GB2312" w:hAnsi="Times New Roman" w:eastAsia="楷体_GB2312" w:cs="Times New Roman"/>
          <w:b/>
          <w:bCs/>
          <w:sz w:val="32"/>
          <w:szCs w:val="32"/>
        </w:rPr>
      </w:pPr>
      <w:r>
        <w:rPr>
          <w:rFonts w:hint="eastAsia" w:ascii="楷体_GB2312" w:hAnsi="Times New Roman" w:eastAsia="楷体_GB2312" w:cs="Times New Roman"/>
          <w:sz w:val="32"/>
          <w:szCs w:val="32"/>
        </w:rPr>
        <w:t>（五）部门整体支出规模、使用方向、主要内容和涉及范围</w:t>
      </w:r>
    </w:p>
    <w:p w14:paraId="3BC10A24">
      <w:pPr>
        <w:spacing w:line="56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2024</w:t>
      </w:r>
      <w:r>
        <w:rPr>
          <w:rFonts w:hint="eastAsia" w:ascii="仿宋_GB2312" w:hAnsi="楷体" w:eastAsia="仿宋_GB2312" w:cs="宋体"/>
          <w:kern w:val="0"/>
          <w:sz w:val="32"/>
          <w:szCs w:val="32"/>
        </w:rPr>
        <w:t>年</w:t>
      </w:r>
      <w:r>
        <w:rPr>
          <w:rFonts w:ascii="仿宋_GB2312" w:hAnsi="Times New Roman" w:eastAsia="仿宋_GB2312" w:cs="Times New Roman"/>
          <w:sz w:val="32"/>
          <w:szCs w:val="32"/>
        </w:rPr>
        <w:t>，我</w:t>
      </w:r>
      <w:r>
        <w:rPr>
          <w:rFonts w:hint="eastAsia" w:ascii="仿宋_GB2312" w:hAnsi="Times New Roman" w:eastAsia="仿宋_GB2312" w:cs="Times New Roman"/>
          <w:sz w:val="32"/>
          <w:szCs w:val="32"/>
        </w:rPr>
        <w:t>办事处</w:t>
      </w:r>
      <w:r>
        <w:rPr>
          <w:rFonts w:ascii="仿宋_GB2312" w:hAnsi="Times New Roman" w:eastAsia="仿宋_GB2312" w:cs="Times New Roman"/>
          <w:sz w:val="32"/>
          <w:szCs w:val="32"/>
        </w:rPr>
        <w:t>整体支出</w:t>
      </w:r>
      <w:r>
        <w:rPr>
          <w:rFonts w:hint="eastAsia" w:ascii="Times New Roman" w:hAnsi="Times New Roman" w:eastAsia="仿宋_GB2312" w:cs="Times New Roman"/>
          <w:sz w:val="32"/>
          <w:szCs w:val="32"/>
        </w:rPr>
        <w:t>12292.41</w:t>
      </w:r>
      <w:r>
        <w:rPr>
          <w:rFonts w:ascii="仿宋_GB2312" w:hAnsi="Times New Roman" w:eastAsia="仿宋_GB2312" w:cs="Times New Roman"/>
          <w:sz w:val="32"/>
          <w:szCs w:val="32"/>
        </w:rPr>
        <w:t>万元，包括基本支出和项目支出范围，基本支出</w:t>
      </w:r>
      <w:r>
        <w:rPr>
          <w:rFonts w:hint="eastAsia" w:ascii="Times New Roman" w:hAnsi="Times New Roman" w:eastAsia="仿宋_GB2312" w:cs="Times New Roman"/>
          <w:sz w:val="32"/>
          <w:szCs w:val="32"/>
        </w:rPr>
        <w:t>2137.56</w:t>
      </w:r>
      <w:r>
        <w:rPr>
          <w:rFonts w:ascii="仿宋_GB2312" w:hAnsi="Times New Roman" w:eastAsia="仿宋_GB2312" w:cs="Times New Roman"/>
          <w:sz w:val="32"/>
          <w:szCs w:val="32"/>
        </w:rPr>
        <w:t>万元，主要是保障单位机构正常运转、完成日常工作任务而发生的各项支出（包括用于基本工资、津贴补贴等人员经费以及办公费等日常公用经费）；项目支出</w:t>
      </w:r>
      <w:r>
        <w:rPr>
          <w:rFonts w:hint="eastAsia" w:ascii="Times New Roman" w:hAnsi="Times New Roman" w:eastAsia="仿宋_GB2312" w:cs="Times New Roman"/>
          <w:sz w:val="32"/>
          <w:szCs w:val="32"/>
        </w:rPr>
        <w:t>10154.85</w:t>
      </w:r>
      <w:r>
        <w:rPr>
          <w:rFonts w:ascii="仿宋_GB2312" w:hAnsi="Times New Roman" w:eastAsia="仿宋_GB2312" w:cs="Times New Roman"/>
          <w:sz w:val="32"/>
          <w:szCs w:val="32"/>
        </w:rPr>
        <w:t>万元，</w:t>
      </w:r>
      <w:r>
        <w:rPr>
          <w:rFonts w:hint="eastAsia" w:ascii="仿宋_GB2312" w:hAnsi="Times New Roman" w:eastAsia="仿宋_GB2312" w:cs="Times New Roman"/>
          <w:sz w:val="32"/>
          <w:szCs w:val="32"/>
        </w:rPr>
        <w:t>主要</w:t>
      </w:r>
      <w:r>
        <w:rPr>
          <w:rFonts w:ascii="仿宋_GB2312" w:hAnsi="Times New Roman" w:eastAsia="仿宋_GB2312" w:cs="Times New Roman"/>
          <w:sz w:val="32"/>
          <w:szCs w:val="32"/>
        </w:rPr>
        <w:t>是为完成特定行政工作任务或事业发展目标而发生的各项费用</w:t>
      </w:r>
      <w:r>
        <w:rPr>
          <w:rFonts w:hint="eastAsia" w:ascii="仿宋_GB2312" w:hAnsi="Times New Roman" w:eastAsia="仿宋_GB2312" w:cs="Times New Roman"/>
          <w:sz w:val="32"/>
          <w:szCs w:val="32"/>
        </w:rPr>
        <w:t>（包括</w:t>
      </w:r>
      <w:r>
        <w:rPr>
          <w:rFonts w:ascii="仿宋_GB2312" w:hAnsi="Times New Roman" w:eastAsia="仿宋_GB2312" w:cs="Times New Roman"/>
          <w:sz w:val="32"/>
          <w:szCs w:val="32"/>
        </w:rPr>
        <w:t>用于</w:t>
      </w:r>
      <w:r>
        <w:rPr>
          <w:rFonts w:hint="eastAsia" w:ascii="仿宋_GB2312" w:hAnsi="Times New Roman" w:eastAsia="仿宋_GB2312" w:cs="Times New Roman"/>
          <w:sz w:val="32"/>
          <w:szCs w:val="32"/>
        </w:rPr>
        <w:t>城市维护</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综治</w:t>
      </w:r>
      <w:r>
        <w:rPr>
          <w:rFonts w:ascii="仿宋_GB2312" w:hAnsi="Times New Roman" w:eastAsia="仿宋_GB2312" w:cs="Times New Roman"/>
          <w:sz w:val="32"/>
          <w:szCs w:val="32"/>
        </w:rPr>
        <w:t>维稳、创文创卫等</w:t>
      </w:r>
      <w:r>
        <w:rPr>
          <w:rFonts w:hint="eastAsia" w:ascii="仿宋_GB2312" w:hAnsi="Times New Roman" w:eastAsia="仿宋_GB2312" w:cs="Times New Roman"/>
          <w:sz w:val="32"/>
          <w:szCs w:val="32"/>
        </w:rPr>
        <w:t>各项目</w:t>
      </w:r>
      <w:r>
        <w:rPr>
          <w:rFonts w:ascii="仿宋_GB2312" w:hAnsi="Times New Roman" w:eastAsia="仿宋_GB2312" w:cs="Times New Roman"/>
          <w:sz w:val="32"/>
          <w:szCs w:val="32"/>
        </w:rPr>
        <w:t>经费</w:t>
      </w:r>
      <w:r>
        <w:rPr>
          <w:rFonts w:hint="eastAsia" w:ascii="仿宋_GB2312" w:hAnsi="Times New Roman" w:eastAsia="仿宋_GB2312" w:cs="Times New Roman"/>
          <w:sz w:val="32"/>
          <w:szCs w:val="32"/>
        </w:rPr>
        <w:t>）。</w:t>
      </w:r>
    </w:p>
    <w:p w14:paraId="3C49090C">
      <w:pPr>
        <w:spacing w:line="6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、部门整体支出</w:t>
      </w:r>
      <w:r>
        <w:rPr>
          <w:rFonts w:hint="eastAsia" w:ascii="黑体" w:hAnsi="黑体" w:eastAsia="黑体" w:cs="Times New Roman"/>
          <w:sz w:val="32"/>
          <w:szCs w:val="32"/>
        </w:rPr>
        <w:t>资金管理</w:t>
      </w:r>
      <w:r>
        <w:rPr>
          <w:rFonts w:ascii="黑体" w:hAnsi="黑体" w:eastAsia="黑体" w:cs="Times New Roman"/>
          <w:sz w:val="32"/>
          <w:szCs w:val="32"/>
        </w:rPr>
        <w:t>及使用情况</w:t>
      </w:r>
    </w:p>
    <w:p w14:paraId="0E8D756C">
      <w:pPr>
        <w:spacing w:line="56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Cs/>
          <w:sz w:val="32"/>
          <w:szCs w:val="32"/>
        </w:rPr>
        <w:t>（一）基本支出</w:t>
      </w:r>
    </w:p>
    <w:p w14:paraId="2A49249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1、基本支出的主要用途范围及资金的管理情况</w:t>
      </w:r>
    </w:p>
    <w:p w14:paraId="629C3F4E">
      <w:pPr>
        <w:spacing w:line="560" w:lineRule="exact"/>
        <w:ind w:firstLine="640" w:firstLineChars="200"/>
        <w:jc w:val="left"/>
        <w:rPr>
          <w:rFonts w:ascii="仿宋_GB2312" w:hAnsi="仿宋_GB2312" w:eastAsia="仿宋_GB2312" w:cs="仿宋_GB2312"/>
          <w:sz w:val="32"/>
          <w:szCs w:val="32"/>
        </w:rPr>
      </w:pPr>
      <w:r>
        <w:rPr>
          <w:rFonts w:hint="eastAsia" w:ascii="仿宋_GB2312" w:hAnsi="方正仿宋简体" w:eastAsia="仿宋_GB2312" w:cs="方正仿宋简体"/>
          <w:sz w:val="32"/>
          <w:szCs w:val="32"/>
        </w:rPr>
        <w:t>我单位基本支出主要用于维持机关基本运转，履行部门主要职责而发生的各项支出，包括基本工资、津贴补贴、奖金、伙食补助费、三险二金、办公费、电费、差旅费、工会经费、其他交通费用、对个人和家庭的补助等。基本支出的主要用途及资金的管理情况：</w:t>
      </w:r>
      <w:r>
        <w:rPr>
          <w:rFonts w:hint="eastAsia" w:ascii="Times New Roman" w:hAnsi="Times New Roman" w:eastAsia="仿宋_GB2312" w:cs="Times New Roman"/>
          <w:sz w:val="32"/>
          <w:szCs w:val="32"/>
        </w:rPr>
        <w:t>2024</w:t>
      </w:r>
      <w:r>
        <w:rPr>
          <w:rFonts w:hint="eastAsia" w:ascii="仿宋_GB2312" w:hAnsi="方正仿宋简体" w:eastAsia="仿宋_GB2312" w:cs="方正仿宋简体"/>
          <w:sz w:val="32"/>
          <w:szCs w:val="32"/>
        </w:rPr>
        <w:t>年基本支出</w:t>
      </w:r>
      <w:r>
        <w:rPr>
          <w:rFonts w:hint="eastAsia" w:ascii="Times New Roman" w:hAnsi="Times New Roman" w:eastAsia="仿宋_GB2312" w:cs="Times New Roman"/>
          <w:sz w:val="32"/>
          <w:szCs w:val="32"/>
        </w:rPr>
        <w:t>2137.56</w:t>
      </w:r>
      <w:r>
        <w:rPr>
          <w:rFonts w:hint="eastAsia" w:ascii="仿宋_GB2312" w:hAnsi="方正仿宋简体" w:eastAsia="仿宋_GB2312" w:cs="方正仿宋简体"/>
          <w:sz w:val="32"/>
          <w:szCs w:val="32"/>
        </w:rPr>
        <w:t>万元，其中：工资福利支出</w:t>
      </w:r>
      <w:r>
        <w:rPr>
          <w:rFonts w:hint="eastAsia" w:ascii="Times New Roman" w:hAnsi="Times New Roman" w:eastAsia="仿宋_GB2312" w:cs="Times New Roman"/>
          <w:sz w:val="32"/>
          <w:szCs w:val="32"/>
        </w:rPr>
        <w:t>1788.66</w:t>
      </w:r>
      <w:r>
        <w:rPr>
          <w:rFonts w:hint="eastAsia" w:ascii="仿宋_GB2312" w:hAnsi="方正仿宋简体" w:eastAsia="仿宋_GB2312" w:cs="方正仿宋简体"/>
          <w:sz w:val="32"/>
          <w:szCs w:val="32"/>
        </w:rPr>
        <w:t>万元；对个人和家庭的补助</w:t>
      </w:r>
      <w:r>
        <w:rPr>
          <w:rFonts w:hint="eastAsia" w:ascii="Times New Roman" w:hAnsi="Times New Roman" w:eastAsia="仿宋_GB2312" w:cs="Times New Roman"/>
          <w:sz w:val="32"/>
          <w:szCs w:val="32"/>
        </w:rPr>
        <w:t>60.91</w:t>
      </w:r>
      <w:r>
        <w:rPr>
          <w:rFonts w:hint="eastAsia" w:ascii="仿宋_GB2312" w:hAnsi="方正仿宋简体" w:eastAsia="仿宋_GB2312" w:cs="方正仿宋简体"/>
          <w:sz w:val="32"/>
          <w:szCs w:val="32"/>
        </w:rPr>
        <w:t>万元；商品和服务支出</w:t>
      </w:r>
      <w:r>
        <w:rPr>
          <w:rFonts w:hint="eastAsia" w:ascii="Times New Roman" w:hAnsi="Times New Roman" w:eastAsia="仿宋_GB2312" w:cs="Times New Roman"/>
          <w:sz w:val="32"/>
          <w:szCs w:val="32"/>
        </w:rPr>
        <w:t>287.99</w:t>
      </w:r>
      <w:r>
        <w:rPr>
          <w:rFonts w:hint="eastAsia" w:ascii="仿宋_GB2312" w:hAnsi="方正仿宋简体" w:eastAsia="仿宋_GB2312" w:cs="方正仿宋简体"/>
          <w:sz w:val="32"/>
          <w:szCs w:val="32"/>
        </w:rPr>
        <w:t>万元。</w:t>
      </w:r>
    </w:p>
    <w:p w14:paraId="5AEE7C90">
      <w:pPr>
        <w:spacing w:line="560" w:lineRule="exact"/>
        <w:ind w:firstLine="560" w:firstLineChars="200"/>
        <w:jc w:val="center"/>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表</w:t>
      </w:r>
      <w:r>
        <w:rPr>
          <w:rFonts w:ascii="Times New Roman" w:hAnsi="Times New Roman" w:eastAsia="仿宋_GB2312" w:cs="Times New Roman"/>
          <w:kern w:val="0"/>
          <w:sz w:val="28"/>
          <w:szCs w:val="28"/>
        </w:rPr>
        <w:t>1-1 20</w:t>
      </w:r>
      <w:r>
        <w:rPr>
          <w:rFonts w:hint="eastAsia" w:ascii="Times New Roman" w:hAnsi="Times New Roman" w:eastAsia="仿宋_GB2312" w:cs="Times New Roman"/>
          <w:kern w:val="0"/>
          <w:sz w:val="28"/>
          <w:szCs w:val="28"/>
        </w:rPr>
        <w:t>24</w:t>
      </w:r>
      <w:r>
        <w:rPr>
          <w:rFonts w:ascii="仿宋_GB2312" w:hAnsi="Times New Roman" w:eastAsia="仿宋_GB2312" w:cs="Times New Roman"/>
          <w:kern w:val="0"/>
          <w:sz w:val="28"/>
          <w:szCs w:val="28"/>
        </w:rPr>
        <w:t>年度基本支出预决算情况</w:t>
      </w:r>
    </w:p>
    <w:p w14:paraId="4B8F67F7">
      <w:pPr>
        <w:spacing w:line="560" w:lineRule="exact"/>
        <w:ind w:firstLine="560" w:firstLineChars="200"/>
        <w:jc w:val="righ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单位</w:t>
      </w:r>
      <w:r>
        <w:rPr>
          <w:rFonts w:ascii="仿宋_GB2312" w:hAnsi="Times New Roman" w:eastAsia="仿宋_GB2312" w:cs="Times New Roman"/>
          <w:kern w:val="0"/>
          <w:sz w:val="28"/>
          <w:szCs w:val="28"/>
        </w:rPr>
        <w:t>：万元</w:t>
      </w:r>
    </w:p>
    <w:tbl>
      <w:tblPr>
        <w:tblStyle w:val="7"/>
        <w:tblW w:w="0" w:type="auto"/>
        <w:tblInd w:w="-19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8"/>
        <w:gridCol w:w="2757"/>
        <w:gridCol w:w="1378"/>
        <w:gridCol w:w="1378"/>
        <w:gridCol w:w="1378"/>
        <w:gridCol w:w="1799"/>
      </w:tblGrid>
      <w:tr w14:paraId="6764C7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188" w:type="dxa"/>
            <w:tcBorders>
              <w:top w:val="single" w:color="auto" w:sz="8" w:space="0"/>
              <w:left w:val="single" w:color="auto" w:sz="8" w:space="0"/>
              <w:bottom w:val="single" w:color="auto" w:sz="8" w:space="0"/>
              <w:right w:val="single" w:color="auto" w:sz="8" w:space="0"/>
            </w:tcBorders>
            <w:noWrap/>
            <w:vAlign w:val="center"/>
          </w:tcPr>
          <w:p w14:paraId="71AECC40">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序号</w:t>
            </w:r>
          </w:p>
        </w:tc>
        <w:tc>
          <w:tcPr>
            <w:tcW w:w="2757" w:type="dxa"/>
            <w:tcBorders>
              <w:top w:val="single" w:color="auto" w:sz="8" w:space="0"/>
              <w:left w:val="single" w:color="auto" w:sz="8" w:space="0"/>
              <w:bottom w:val="single" w:color="auto" w:sz="8" w:space="0"/>
              <w:right w:val="single" w:color="auto" w:sz="8" w:space="0"/>
            </w:tcBorders>
            <w:noWrap/>
            <w:vAlign w:val="center"/>
          </w:tcPr>
          <w:p w14:paraId="01473271">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项目支出</w:t>
            </w:r>
          </w:p>
        </w:tc>
        <w:tc>
          <w:tcPr>
            <w:tcW w:w="1378" w:type="dxa"/>
            <w:tcBorders>
              <w:top w:val="single" w:color="auto" w:sz="8" w:space="0"/>
              <w:left w:val="single" w:color="auto" w:sz="8" w:space="0"/>
              <w:bottom w:val="single" w:color="auto" w:sz="8" w:space="0"/>
              <w:right w:val="single" w:color="auto" w:sz="8" w:space="0"/>
            </w:tcBorders>
            <w:noWrap/>
            <w:vAlign w:val="center"/>
          </w:tcPr>
          <w:p w14:paraId="0CFBC317">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年初预算</w:t>
            </w:r>
          </w:p>
        </w:tc>
        <w:tc>
          <w:tcPr>
            <w:tcW w:w="1378" w:type="dxa"/>
            <w:tcBorders>
              <w:top w:val="single" w:color="auto" w:sz="8" w:space="0"/>
              <w:left w:val="single" w:color="auto" w:sz="8" w:space="0"/>
              <w:bottom w:val="single" w:color="auto" w:sz="8" w:space="0"/>
              <w:right w:val="single" w:color="auto" w:sz="8" w:space="0"/>
            </w:tcBorders>
            <w:noWrap/>
            <w:vAlign w:val="center"/>
          </w:tcPr>
          <w:p w14:paraId="2C1C0A30">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调整预算</w:t>
            </w:r>
          </w:p>
        </w:tc>
        <w:tc>
          <w:tcPr>
            <w:tcW w:w="1378" w:type="dxa"/>
            <w:tcBorders>
              <w:top w:val="single" w:color="auto" w:sz="8" w:space="0"/>
              <w:left w:val="single" w:color="auto" w:sz="8" w:space="0"/>
              <w:bottom w:val="single" w:color="auto" w:sz="8" w:space="0"/>
              <w:right w:val="single" w:color="auto" w:sz="8" w:space="0"/>
            </w:tcBorders>
            <w:noWrap/>
            <w:vAlign w:val="center"/>
          </w:tcPr>
          <w:p w14:paraId="47E648EE">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实际支出</w:t>
            </w:r>
          </w:p>
        </w:tc>
        <w:tc>
          <w:tcPr>
            <w:tcW w:w="1799" w:type="dxa"/>
            <w:tcBorders>
              <w:top w:val="single" w:color="auto" w:sz="8" w:space="0"/>
              <w:left w:val="single" w:color="auto" w:sz="8" w:space="0"/>
              <w:bottom w:val="single" w:color="auto" w:sz="8" w:space="0"/>
              <w:right w:val="single" w:color="auto" w:sz="8" w:space="0"/>
            </w:tcBorders>
            <w:noWrap/>
            <w:vAlign w:val="center"/>
          </w:tcPr>
          <w:p w14:paraId="7CF901DE">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预算执行率</w:t>
            </w:r>
          </w:p>
        </w:tc>
      </w:tr>
      <w:tr w14:paraId="7CCB4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188" w:type="dxa"/>
            <w:tcBorders>
              <w:top w:val="single" w:color="auto" w:sz="8" w:space="0"/>
              <w:left w:val="single" w:color="auto" w:sz="8" w:space="0"/>
              <w:bottom w:val="single" w:color="auto" w:sz="8" w:space="0"/>
              <w:right w:val="single" w:color="auto" w:sz="8" w:space="0"/>
            </w:tcBorders>
            <w:noWrap/>
            <w:vAlign w:val="center"/>
          </w:tcPr>
          <w:p w14:paraId="374C5B1C">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w:t>
            </w:r>
          </w:p>
        </w:tc>
        <w:tc>
          <w:tcPr>
            <w:tcW w:w="2757" w:type="dxa"/>
            <w:tcBorders>
              <w:top w:val="single" w:color="auto" w:sz="8" w:space="0"/>
              <w:left w:val="single" w:color="auto" w:sz="8" w:space="0"/>
              <w:bottom w:val="single" w:color="auto" w:sz="8" w:space="0"/>
              <w:right w:val="single" w:color="auto" w:sz="8" w:space="0"/>
            </w:tcBorders>
            <w:noWrap/>
            <w:vAlign w:val="center"/>
          </w:tcPr>
          <w:p w14:paraId="0840CDAD">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工资福利支出</w:t>
            </w:r>
          </w:p>
        </w:tc>
        <w:tc>
          <w:tcPr>
            <w:tcW w:w="1378" w:type="dxa"/>
            <w:tcBorders>
              <w:top w:val="single" w:color="auto" w:sz="8" w:space="0"/>
              <w:left w:val="single" w:color="auto" w:sz="8" w:space="0"/>
              <w:bottom w:val="single" w:color="auto" w:sz="8" w:space="0"/>
              <w:right w:val="single" w:color="auto" w:sz="8" w:space="0"/>
            </w:tcBorders>
            <w:noWrap/>
            <w:vAlign w:val="center"/>
          </w:tcPr>
          <w:p w14:paraId="7319588C">
            <w:pPr>
              <w:autoSpaceDE w:val="0"/>
              <w:spacing w:line="560" w:lineRule="exact"/>
              <w:ind w:firstLine="420" w:firstLineChars="200"/>
              <w:jc w:val="center"/>
              <w:rPr>
                <w:rFonts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5D17D040">
            <w:pPr>
              <w:autoSpaceDE w:val="0"/>
              <w:spacing w:line="560" w:lineRule="exact"/>
              <w:ind w:firstLine="420" w:firstLineChars="200"/>
              <w:jc w:val="center"/>
              <w:rPr>
                <w:rFonts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35867EE7">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1788.66</w:t>
            </w:r>
          </w:p>
        </w:tc>
        <w:tc>
          <w:tcPr>
            <w:tcW w:w="1799" w:type="dxa"/>
            <w:tcBorders>
              <w:top w:val="single" w:color="auto" w:sz="8" w:space="0"/>
              <w:left w:val="single" w:color="auto" w:sz="8" w:space="0"/>
              <w:bottom w:val="single" w:color="auto" w:sz="8" w:space="0"/>
              <w:right w:val="single" w:color="auto" w:sz="8" w:space="0"/>
            </w:tcBorders>
            <w:noWrap/>
            <w:vAlign w:val="center"/>
          </w:tcPr>
          <w:p w14:paraId="5B6C5A84">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100%</w:t>
            </w:r>
          </w:p>
        </w:tc>
      </w:tr>
      <w:tr w14:paraId="49126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188" w:type="dxa"/>
            <w:tcBorders>
              <w:top w:val="single" w:color="auto" w:sz="8" w:space="0"/>
              <w:left w:val="single" w:color="auto" w:sz="8" w:space="0"/>
              <w:bottom w:val="single" w:color="auto" w:sz="8" w:space="0"/>
              <w:right w:val="single" w:color="auto" w:sz="8" w:space="0"/>
            </w:tcBorders>
            <w:noWrap/>
            <w:vAlign w:val="center"/>
          </w:tcPr>
          <w:p w14:paraId="63EAA6BB">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w:t>
            </w:r>
          </w:p>
        </w:tc>
        <w:tc>
          <w:tcPr>
            <w:tcW w:w="2757" w:type="dxa"/>
            <w:tcBorders>
              <w:top w:val="single" w:color="auto" w:sz="8" w:space="0"/>
              <w:left w:val="single" w:color="auto" w:sz="8" w:space="0"/>
              <w:bottom w:val="single" w:color="auto" w:sz="8" w:space="0"/>
              <w:right w:val="single" w:color="auto" w:sz="8" w:space="0"/>
            </w:tcBorders>
            <w:noWrap/>
            <w:vAlign w:val="center"/>
          </w:tcPr>
          <w:p w14:paraId="0CE4EAC6">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商品和服务支出</w:t>
            </w:r>
          </w:p>
        </w:tc>
        <w:tc>
          <w:tcPr>
            <w:tcW w:w="1378" w:type="dxa"/>
            <w:tcBorders>
              <w:top w:val="single" w:color="auto" w:sz="8" w:space="0"/>
              <w:left w:val="single" w:color="auto" w:sz="8" w:space="0"/>
              <w:bottom w:val="single" w:color="auto" w:sz="8" w:space="0"/>
              <w:right w:val="single" w:color="auto" w:sz="8" w:space="0"/>
            </w:tcBorders>
            <w:noWrap/>
            <w:vAlign w:val="center"/>
          </w:tcPr>
          <w:p w14:paraId="4AB74ECF">
            <w:pPr>
              <w:autoSpaceDE w:val="0"/>
              <w:spacing w:line="560" w:lineRule="exact"/>
              <w:ind w:firstLine="420" w:firstLineChars="200"/>
              <w:jc w:val="center"/>
              <w:rPr>
                <w:rFonts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36BF5201">
            <w:pPr>
              <w:autoSpaceDE w:val="0"/>
              <w:spacing w:line="560" w:lineRule="exact"/>
              <w:ind w:firstLine="420" w:firstLineChars="200"/>
              <w:jc w:val="center"/>
              <w:rPr>
                <w:rFonts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66393968">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287.99</w:t>
            </w:r>
          </w:p>
        </w:tc>
        <w:tc>
          <w:tcPr>
            <w:tcW w:w="1799" w:type="dxa"/>
            <w:tcBorders>
              <w:top w:val="single" w:color="auto" w:sz="8" w:space="0"/>
              <w:left w:val="single" w:color="auto" w:sz="8" w:space="0"/>
              <w:bottom w:val="single" w:color="auto" w:sz="8" w:space="0"/>
              <w:right w:val="single" w:color="auto" w:sz="8" w:space="0"/>
            </w:tcBorders>
            <w:noWrap/>
            <w:vAlign w:val="center"/>
          </w:tcPr>
          <w:p w14:paraId="251992BE">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100%</w:t>
            </w:r>
          </w:p>
        </w:tc>
      </w:tr>
      <w:tr w14:paraId="33636D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188" w:type="dxa"/>
            <w:tcBorders>
              <w:top w:val="single" w:color="auto" w:sz="8" w:space="0"/>
              <w:left w:val="single" w:color="auto" w:sz="8" w:space="0"/>
              <w:bottom w:val="single" w:color="auto" w:sz="8" w:space="0"/>
              <w:right w:val="single" w:color="auto" w:sz="8" w:space="0"/>
            </w:tcBorders>
            <w:noWrap/>
            <w:vAlign w:val="center"/>
          </w:tcPr>
          <w:p w14:paraId="2BFA5B3C">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w:t>
            </w:r>
          </w:p>
        </w:tc>
        <w:tc>
          <w:tcPr>
            <w:tcW w:w="2757" w:type="dxa"/>
            <w:tcBorders>
              <w:top w:val="single" w:color="auto" w:sz="8" w:space="0"/>
              <w:left w:val="single" w:color="auto" w:sz="8" w:space="0"/>
              <w:bottom w:val="single" w:color="auto" w:sz="8" w:space="0"/>
              <w:right w:val="single" w:color="auto" w:sz="8" w:space="0"/>
            </w:tcBorders>
            <w:noWrap/>
            <w:vAlign w:val="center"/>
          </w:tcPr>
          <w:p w14:paraId="2C8EE374">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对个人和家庭的补助</w:t>
            </w:r>
          </w:p>
        </w:tc>
        <w:tc>
          <w:tcPr>
            <w:tcW w:w="1378" w:type="dxa"/>
            <w:tcBorders>
              <w:top w:val="single" w:color="auto" w:sz="8" w:space="0"/>
              <w:left w:val="single" w:color="auto" w:sz="8" w:space="0"/>
              <w:bottom w:val="single" w:color="auto" w:sz="8" w:space="0"/>
              <w:right w:val="single" w:color="auto" w:sz="8" w:space="0"/>
            </w:tcBorders>
            <w:noWrap/>
            <w:vAlign w:val="center"/>
          </w:tcPr>
          <w:p w14:paraId="19E7EC88">
            <w:pPr>
              <w:autoSpaceDE w:val="0"/>
              <w:spacing w:line="560" w:lineRule="exact"/>
              <w:ind w:firstLine="420" w:firstLineChars="200"/>
              <w:jc w:val="center"/>
              <w:rPr>
                <w:rFonts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02C65AA4">
            <w:pPr>
              <w:autoSpaceDE w:val="0"/>
              <w:spacing w:line="560" w:lineRule="exact"/>
              <w:ind w:firstLine="420" w:firstLineChars="200"/>
              <w:jc w:val="center"/>
              <w:rPr>
                <w:rFonts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198B0793">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60.91</w:t>
            </w:r>
          </w:p>
        </w:tc>
        <w:tc>
          <w:tcPr>
            <w:tcW w:w="1799" w:type="dxa"/>
            <w:tcBorders>
              <w:top w:val="single" w:color="auto" w:sz="8" w:space="0"/>
              <w:left w:val="single" w:color="auto" w:sz="8" w:space="0"/>
              <w:bottom w:val="single" w:color="auto" w:sz="8" w:space="0"/>
              <w:right w:val="single" w:color="auto" w:sz="8" w:space="0"/>
            </w:tcBorders>
            <w:noWrap/>
            <w:vAlign w:val="center"/>
          </w:tcPr>
          <w:p w14:paraId="19FD08CB">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100%</w:t>
            </w:r>
          </w:p>
        </w:tc>
      </w:tr>
      <w:tr w14:paraId="3CF0D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188" w:type="dxa"/>
            <w:tcBorders>
              <w:top w:val="single" w:color="auto" w:sz="8" w:space="0"/>
              <w:left w:val="single" w:color="auto" w:sz="8" w:space="0"/>
              <w:bottom w:val="single" w:color="auto" w:sz="8" w:space="0"/>
              <w:right w:val="single" w:color="auto" w:sz="8" w:space="0"/>
            </w:tcBorders>
            <w:noWrap/>
            <w:vAlign w:val="center"/>
          </w:tcPr>
          <w:p w14:paraId="77CDF7B4">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w:t>
            </w:r>
          </w:p>
        </w:tc>
        <w:tc>
          <w:tcPr>
            <w:tcW w:w="2757" w:type="dxa"/>
            <w:tcBorders>
              <w:top w:val="single" w:color="auto" w:sz="8" w:space="0"/>
              <w:left w:val="single" w:color="auto" w:sz="8" w:space="0"/>
              <w:bottom w:val="single" w:color="auto" w:sz="8" w:space="0"/>
              <w:right w:val="single" w:color="auto" w:sz="8" w:space="0"/>
            </w:tcBorders>
            <w:noWrap/>
            <w:vAlign w:val="center"/>
          </w:tcPr>
          <w:p w14:paraId="3A27DA2F">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合  计</w:t>
            </w:r>
          </w:p>
        </w:tc>
        <w:tc>
          <w:tcPr>
            <w:tcW w:w="1378" w:type="dxa"/>
            <w:tcBorders>
              <w:top w:val="single" w:color="auto" w:sz="8" w:space="0"/>
              <w:left w:val="single" w:color="auto" w:sz="8" w:space="0"/>
              <w:bottom w:val="single" w:color="auto" w:sz="8" w:space="0"/>
              <w:right w:val="single" w:color="auto" w:sz="8" w:space="0"/>
            </w:tcBorders>
            <w:noWrap/>
            <w:vAlign w:val="center"/>
          </w:tcPr>
          <w:p w14:paraId="1C3F0106">
            <w:pPr>
              <w:autoSpaceDE w:val="0"/>
              <w:spacing w:line="560" w:lineRule="exact"/>
              <w:ind w:firstLine="420" w:firstLineChars="200"/>
              <w:jc w:val="center"/>
              <w:rPr>
                <w:rFonts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0803114A">
            <w:pPr>
              <w:autoSpaceDE w:val="0"/>
              <w:spacing w:line="560" w:lineRule="exact"/>
              <w:ind w:firstLine="420" w:firstLineChars="200"/>
              <w:jc w:val="center"/>
              <w:rPr>
                <w:rFonts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14:paraId="543C4AE8">
            <w:pPr>
              <w:autoSpaceDE w:val="0"/>
              <w:spacing w:line="560" w:lineRule="exact"/>
              <w:ind w:firstLine="420" w:firstLineChars="200"/>
              <w:jc w:val="center"/>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2137.56</w:t>
            </w:r>
          </w:p>
        </w:tc>
        <w:tc>
          <w:tcPr>
            <w:tcW w:w="1799" w:type="dxa"/>
            <w:tcBorders>
              <w:top w:val="single" w:color="auto" w:sz="8" w:space="0"/>
              <w:left w:val="single" w:color="auto" w:sz="8" w:space="0"/>
              <w:bottom w:val="single" w:color="auto" w:sz="8" w:space="0"/>
              <w:right w:val="single" w:color="auto" w:sz="8" w:space="0"/>
            </w:tcBorders>
            <w:noWrap/>
            <w:vAlign w:val="center"/>
          </w:tcPr>
          <w:p w14:paraId="342EC9F3">
            <w:pPr>
              <w:autoSpaceDE w:val="0"/>
              <w:spacing w:line="560" w:lineRule="exact"/>
              <w:ind w:firstLine="420" w:firstLineChars="200"/>
              <w:jc w:val="center"/>
              <w:rPr>
                <w:rFonts w:ascii="仿宋_GB2312" w:hAnsi="Times New Roman" w:eastAsia="仿宋_GB2312" w:cs="Times New Roman"/>
                <w:kern w:val="0"/>
                <w:szCs w:val="21"/>
              </w:rPr>
            </w:pPr>
          </w:p>
        </w:tc>
      </w:tr>
    </w:tbl>
    <w:p w14:paraId="033EBCD9">
      <w:pPr>
        <w:spacing w:line="560" w:lineRule="exact"/>
        <w:rPr>
          <w:rFonts w:ascii="Times New Roman" w:hAnsi="Times New Roman" w:eastAsia="宋体" w:cs="Times New Roman"/>
          <w:szCs w:val="21"/>
        </w:rPr>
      </w:pPr>
    </w:p>
    <w:p w14:paraId="1D6EBB6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2、年初总预算收支情况</w:t>
      </w:r>
    </w:p>
    <w:p w14:paraId="74DEA3AD">
      <w:pPr>
        <w:spacing w:line="560" w:lineRule="exact"/>
        <w:ind w:firstLine="640" w:firstLineChars="200"/>
        <w:jc w:val="left"/>
        <w:rPr>
          <w:rFonts w:hint="eastAsia" w:ascii="仿宋_GB2312" w:hAnsi="方正仿宋简体" w:eastAsia="仿宋_GB2312" w:cs="方正仿宋简体"/>
          <w:sz w:val="32"/>
          <w:szCs w:val="32"/>
        </w:rPr>
      </w:pPr>
      <w:r>
        <w:rPr>
          <w:rFonts w:hint="eastAsia" w:ascii="Times New Roman" w:hAnsi="Times New Roman" w:eastAsia="仿宋_GB2312" w:cs="Times New Roman"/>
          <w:sz w:val="32"/>
          <w:szCs w:val="32"/>
        </w:rPr>
        <w:t>2024</w:t>
      </w:r>
      <w:r>
        <w:rPr>
          <w:rFonts w:hint="eastAsia" w:ascii="仿宋_GB2312" w:hAnsi="方正仿宋简体" w:eastAsia="仿宋_GB2312" w:cs="方正仿宋简体"/>
          <w:sz w:val="32"/>
          <w:szCs w:val="32"/>
        </w:rPr>
        <w:t>年单位基本支出预算收入</w:t>
      </w:r>
      <w:r>
        <w:rPr>
          <w:rFonts w:hint="eastAsia" w:ascii="Times New Roman" w:hAnsi="Times New Roman" w:eastAsia="仿宋_GB2312" w:cs="Times New Roman"/>
          <w:sz w:val="32"/>
          <w:szCs w:val="32"/>
        </w:rPr>
        <w:t>2048.45</w:t>
      </w:r>
      <w:r>
        <w:rPr>
          <w:rFonts w:hint="eastAsia" w:ascii="仿宋_GB2312" w:hAnsi="方正仿宋简体" w:eastAsia="仿宋_GB2312" w:cs="方正仿宋简体"/>
          <w:sz w:val="32"/>
          <w:szCs w:val="32"/>
        </w:rPr>
        <w:t>万元，全部为一般公共预算拨款；</w:t>
      </w:r>
      <w:r>
        <w:rPr>
          <w:rFonts w:hint="eastAsia" w:ascii="Times New Roman" w:hAnsi="Times New Roman" w:eastAsia="仿宋_GB2312" w:cs="Times New Roman"/>
          <w:sz w:val="32"/>
          <w:szCs w:val="32"/>
        </w:rPr>
        <w:t>2024</w:t>
      </w:r>
      <w:r>
        <w:rPr>
          <w:rFonts w:hint="eastAsia" w:ascii="仿宋_GB2312" w:hAnsi="方正仿宋简体" w:eastAsia="仿宋_GB2312" w:cs="方正仿宋简体"/>
          <w:sz w:val="32"/>
          <w:szCs w:val="32"/>
        </w:rPr>
        <w:t>年单位基本支出预算支出</w:t>
      </w:r>
      <w:r>
        <w:rPr>
          <w:rFonts w:hint="eastAsia" w:ascii="Times New Roman" w:hAnsi="Times New Roman" w:eastAsia="仿宋_GB2312" w:cs="Times New Roman"/>
          <w:sz w:val="32"/>
          <w:szCs w:val="32"/>
        </w:rPr>
        <w:t>2048.45</w:t>
      </w:r>
      <w:r>
        <w:rPr>
          <w:rFonts w:hint="eastAsia" w:ascii="仿宋_GB2312" w:hAnsi="方正仿宋简体" w:eastAsia="仿宋_GB2312" w:cs="方正仿宋简体"/>
          <w:sz w:val="32"/>
          <w:szCs w:val="32"/>
        </w:rPr>
        <w:t>万元，其中：</w:t>
      </w:r>
    </w:p>
    <w:p w14:paraId="22906E7A">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人员经费支出</w:t>
      </w:r>
      <w:r>
        <w:rPr>
          <w:rFonts w:hint="eastAsia" w:ascii="Times New Roman" w:hAnsi="Times New Roman" w:eastAsia="仿宋_GB2312" w:cs="Times New Roman"/>
          <w:sz w:val="32"/>
          <w:szCs w:val="32"/>
        </w:rPr>
        <w:t>1779.75</w:t>
      </w:r>
      <w:r>
        <w:rPr>
          <w:rFonts w:hint="eastAsia" w:ascii="仿宋_GB2312" w:hAnsi="方正仿宋简体" w:eastAsia="仿宋_GB2312" w:cs="方正仿宋简体"/>
          <w:sz w:val="32"/>
          <w:szCs w:val="32"/>
        </w:rPr>
        <w:t>万元，公用经费支出</w:t>
      </w:r>
      <w:r>
        <w:rPr>
          <w:rFonts w:hint="eastAsia" w:ascii="Times New Roman" w:hAnsi="Times New Roman" w:eastAsia="仿宋_GB2312" w:cs="Times New Roman"/>
          <w:sz w:val="32"/>
          <w:szCs w:val="32"/>
        </w:rPr>
        <w:t>134.92</w:t>
      </w:r>
      <w:r>
        <w:rPr>
          <w:rFonts w:hint="eastAsia" w:ascii="仿宋_GB2312" w:hAnsi="方正仿宋简体" w:eastAsia="仿宋_GB2312" w:cs="方正仿宋简体"/>
          <w:sz w:val="32"/>
          <w:szCs w:val="32"/>
        </w:rPr>
        <w:t>万元，主要是保障单位机构正常运转、完成日常工作任务而发生的各项支出，包括用于基本工资、津贴补贴等人员经费以及办公费、印刷费、水电费、办公设备购置等日常公用经费。</w:t>
      </w:r>
    </w:p>
    <w:p w14:paraId="5B7298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3、年度预算收入决算情况</w:t>
      </w:r>
    </w:p>
    <w:p w14:paraId="587091E9">
      <w:pPr>
        <w:spacing w:line="560" w:lineRule="exact"/>
        <w:ind w:firstLine="640" w:firstLineChars="200"/>
        <w:jc w:val="left"/>
        <w:rPr>
          <w:rFonts w:ascii="仿宋_GB2312" w:hAnsi="仿宋_GB2312" w:eastAsia="仿宋_GB2312" w:cs="仿宋_GB2312"/>
          <w:sz w:val="32"/>
          <w:szCs w:val="32"/>
        </w:rPr>
      </w:pPr>
      <w:r>
        <w:rPr>
          <w:rFonts w:hint="eastAsia" w:ascii="Times New Roman" w:hAnsi="Times New Roman" w:eastAsia="仿宋_GB2312" w:cs="Times New Roman"/>
          <w:sz w:val="32"/>
          <w:szCs w:val="32"/>
        </w:rPr>
        <w:t>2024</w:t>
      </w:r>
      <w:r>
        <w:rPr>
          <w:rFonts w:hint="eastAsia" w:ascii="仿宋_GB2312" w:hAnsi="仿宋_GB2312" w:eastAsia="仿宋_GB2312" w:cs="仿宋_GB2312"/>
          <w:bCs/>
          <w:sz w:val="32"/>
          <w:szCs w:val="32"/>
        </w:rPr>
        <w:t>年基本支出决算</w:t>
      </w:r>
      <w:r>
        <w:rPr>
          <w:rFonts w:hint="eastAsia" w:ascii="Times New Roman" w:hAnsi="Times New Roman" w:eastAsia="仿宋_GB2312" w:cs="Times New Roman"/>
          <w:sz w:val="32"/>
          <w:szCs w:val="32"/>
        </w:rPr>
        <w:t>2137.56</w:t>
      </w:r>
      <w:r>
        <w:rPr>
          <w:rFonts w:hint="eastAsia" w:ascii="仿宋_GB2312" w:hAnsi="仿宋_GB2312" w:eastAsia="仿宋_GB2312" w:cs="仿宋_GB2312"/>
          <w:bCs/>
          <w:sz w:val="32"/>
          <w:szCs w:val="32"/>
        </w:rPr>
        <w:t>万元，其中：</w:t>
      </w:r>
      <w:r>
        <w:rPr>
          <w:rFonts w:hint="eastAsia" w:ascii="仿宋_GB2312" w:hAnsi="方正仿宋简体" w:eastAsia="仿宋_GB2312" w:cs="方正仿宋简体"/>
          <w:sz w:val="32"/>
          <w:szCs w:val="32"/>
        </w:rPr>
        <w:t>工资福利支出</w:t>
      </w:r>
      <w:r>
        <w:rPr>
          <w:rFonts w:hint="eastAsia" w:ascii="Times New Roman" w:hAnsi="Times New Roman" w:eastAsia="仿宋_GB2312" w:cs="Times New Roman"/>
          <w:sz w:val="32"/>
          <w:szCs w:val="32"/>
        </w:rPr>
        <w:t>1788.66</w:t>
      </w:r>
      <w:r>
        <w:rPr>
          <w:rFonts w:hint="eastAsia" w:ascii="仿宋_GB2312" w:hAnsi="方正仿宋简体" w:eastAsia="仿宋_GB2312" w:cs="方正仿宋简体"/>
          <w:sz w:val="32"/>
          <w:szCs w:val="32"/>
        </w:rPr>
        <w:t>万元；对个人和家庭的补助</w:t>
      </w:r>
      <w:r>
        <w:rPr>
          <w:rFonts w:hint="eastAsia" w:ascii="Times New Roman" w:hAnsi="Times New Roman" w:eastAsia="仿宋_GB2312" w:cs="Times New Roman"/>
          <w:sz w:val="32"/>
          <w:szCs w:val="32"/>
        </w:rPr>
        <w:t>60.91</w:t>
      </w:r>
      <w:r>
        <w:rPr>
          <w:rFonts w:hint="eastAsia" w:ascii="仿宋_GB2312" w:hAnsi="方正仿宋简体" w:eastAsia="仿宋_GB2312" w:cs="方正仿宋简体"/>
          <w:sz w:val="32"/>
          <w:szCs w:val="32"/>
        </w:rPr>
        <w:t>万元；商品和服务支出</w:t>
      </w:r>
      <w:r>
        <w:rPr>
          <w:rFonts w:hint="eastAsia" w:ascii="Times New Roman" w:hAnsi="Times New Roman" w:eastAsia="仿宋_GB2312" w:cs="Times New Roman"/>
          <w:sz w:val="32"/>
          <w:szCs w:val="32"/>
        </w:rPr>
        <w:t>287.99</w:t>
      </w:r>
      <w:r>
        <w:rPr>
          <w:rFonts w:hint="eastAsia" w:ascii="仿宋_GB2312" w:hAnsi="方正仿宋简体" w:eastAsia="仿宋_GB2312" w:cs="方正仿宋简体"/>
          <w:sz w:val="32"/>
          <w:szCs w:val="32"/>
        </w:rPr>
        <w:t>万元。</w:t>
      </w:r>
    </w:p>
    <w:p w14:paraId="5A317030">
      <w:pPr>
        <w:pStyle w:val="2"/>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caps w:val="0"/>
          <w:sz w:val="32"/>
          <w:szCs w:val="32"/>
        </w:rPr>
        <w:t>年度预算支出决算及结余情况</w:t>
      </w:r>
    </w:p>
    <w:p w14:paraId="7082EE6E">
      <w:pPr>
        <w:spacing w:line="560" w:lineRule="exact"/>
        <w:ind w:firstLine="640" w:firstLineChars="200"/>
        <w:jc w:val="left"/>
        <w:rPr>
          <w:rFonts w:hint="eastAsia" w:ascii="仿宋_GB2312" w:hAnsi="方正仿宋简体" w:eastAsia="仿宋_GB2312" w:cs="方正仿宋简体"/>
          <w:sz w:val="32"/>
          <w:szCs w:val="32"/>
        </w:rPr>
      </w:pPr>
      <w:r>
        <w:rPr>
          <w:rFonts w:hint="eastAsia" w:ascii="Times New Roman" w:hAnsi="Times New Roman" w:eastAsia="仿宋_GB2312" w:cs="Times New Roman"/>
          <w:sz w:val="32"/>
          <w:szCs w:val="32"/>
        </w:rPr>
        <w:t>2024</w:t>
      </w:r>
      <w:r>
        <w:rPr>
          <w:rFonts w:hint="eastAsia" w:ascii="仿宋_GB2312" w:hAnsi="方正仿宋简体" w:eastAsia="仿宋_GB2312" w:cs="方正仿宋简体"/>
          <w:sz w:val="32"/>
          <w:szCs w:val="32"/>
        </w:rPr>
        <w:t>年度基本支出决算总支出为</w:t>
      </w:r>
      <w:r>
        <w:rPr>
          <w:rFonts w:hint="eastAsia" w:ascii="Times New Roman" w:hAnsi="Times New Roman" w:eastAsia="仿宋_GB2312" w:cs="Times New Roman"/>
          <w:sz w:val="32"/>
          <w:szCs w:val="32"/>
        </w:rPr>
        <w:t>2137.56</w:t>
      </w:r>
      <w:r>
        <w:rPr>
          <w:rFonts w:hint="eastAsia" w:ascii="仿宋_GB2312" w:hAnsi="方正仿宋简体" w:eastAsia="仿宋_GB2312" w:cs="方正仿宋简体"/>
          <w:sz w:val="32"/>
          <w:szCs w:val="32"/>
        </w:rPr>
        <w:t>万元，同比减少</w:t>
      </w:r>
      <w:r>
        <w:rPr>
          <w:rFonts w:hint="eastAsia" w:ascii="Times New Roman" w:hAnsi="Times New Roman" w:eastAsia="仿宋_GB2312" w:cs="Times New Roman"/>
          <w:sz w:val="32"/>
          <w:szCs w:val="32"/>
        </w:rPr>
        <w:t>86.65</w:t>
      </w:r>
      <w:r>
        <w:rPr>
          <w:rFonts w:hint="eastAsia" w:ascii="仿宋_GB2312" w:hAnsi="方正仿宋简体" w:eastAsia="仿宋_GB2312" w:cs="方正仿宋简体"/>
          <w:sz w:val="32"/>
          <w:szCs w:val="32"/>
        </w:rPr>
        <w:t>万元，下降</w:t>
      </w:r>
      <w:r>
        <w:rPr>
          <w:rFonts w:hint="eastAsia" w:ascii="Times New Roman" w:hAnsi="Times New Roman" w:eastAsia="仿宋_GB2312" w:cs="Times New Roman"/>
          <w:sz w:val="32"/>
          <w:szCs w:val="32"/>
        </w:rPr>
        <w:t>3.90%</w:t>
      </w:r>
      <w:r>
        <w:rPr>
          <w:rFonts w:hint="eastAsia" w:ascii="仿宋_GB2312" w:hAnsi="方正仿宋简体" w:eastAsia="仿宋_GB2312" w:cs="方正仿宋简体"/>
          <w:sz w:val="32"/>
          <w:szCs w:val="32"/>
        </w:rPr>
        <w:t>，主要原因是中心工作任厉行节约。其中：</w:t>
      </w:r>
    </w:p>
    <w:p w14:paraId="70461589">
      <w:pPr>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人员经费</w:t>
      </w:r>
      <w:r>
        <w:rPr>
          <w:rFonts w:hint="eastAsia" w:ascii="Times New Roman" w:hAnsi="Times New Roman" w:eastAsia="仿宋_GB2312" w:cs="Times New Roman"/>
          <w:sz w:val="32"/>
          <w:szCs w:val="32"/>
        </w:rPr>
        <w:t>1849.57</w:t>
      </w:r>
      <w:r>
        <w:rPr>
          <w:rFonts w:hint="eastAsia" w:ascii="仿宋_GB2312" w:hAnsi="方正仿宋简体" w:eastAsia="仿宋_GB2312" w:cs="方正仿宋简体"/>
          <w:sz w:val="32"/>
          <w:szCs w:val="32"/>
        </w:rPr>
        <w:t>万元，同比减少</w:t>
      </w:r>
      <w:r>
        <w:rPr>
          <w:rFonts w:hint="eastAsia" w:ascii="Times New Roman" w:hAnsi="Times New Roman" w:eastAsia="仿宋_GB2312" w:cs="Times New Roman"/>
          <w:sz w:val="32"/>
          <w:szCs w:val="32"/>
        </w:rPr>
        <w:t>79.41</w:t>
      </w:r>
      <w:r>
        <w:rPr>
          <w:rFonts w:hint="eastAsia" w:ascii="仿宋_GB2312" w:hAnsi="方正仿宋简体" w:eastAsia="仿宋_GB2312" w:cs="方正仿宋简体"/>
          <w:sz w:val="32"/>
          <w:szCs w:val="32"/>
        </w:rPr>
        <w:t>万元，下降</w:t>
      </w:r>
      <w:r>
        <w:rPr>
          <w:rFonts w:hint="eastAsia" w:ascii="Times New Roman" w:hAnsi="Times New Roman" w:eastAsia="仿宋_GB2312" w:cs="Times New Roman"/>
          <w:sz w:val="32"/>
          <w:szCs w:val="32"/>
        </w:rPr>
        <w:t>4.12%</w:t>
      </w:r>
      <w:r>
        <w:rPr>
          <w:rFonts w:hint="eastAsia" w:ascii="仿宋_GB2312" w:hAnsi="方正仿宋简体" w:eastAsia="仿宋_GB2312" w:cs="方正仿宋简体"/>
          <w:sz w:val="32"/>
          <w:szCs w:val="32"/>
        </w:rPr>
        <w:t>；公用经费</w:t>
      </w:r>
      <w:r>
        <w:rPr>
          <w:rFonts w:hint="eastAsia" w:ascii="Times New Roman" w:hAnsi="Times New Roman" w:eastAsia="仿宋_GB2312" w:cs="Times New Roman"/>
          <w:sz w:val="32"/>
          <w:szCs w:val="32"/>
        </w:rPr>
        <w:t>287.99</w:t>
      </w:r>
      <w:r>
        <w:rPr>
          <w:rFonts w:hint="eastAsia" w:ascii="仿宋_GB2312" w:hAnsi="方正仿宋简体" w:eastAsia="仿宋_GB2312" w:cs="方正仿宋简体"/>
          <w:sz w:val="32"/>
          <w:szCs w:val="32"/>
        </w:rPr>
        <w:t>万元，同比减少</w:t>
      </w:r>
      <w:r>
        <w:rPr>
          <w:rFonts w:hint="eastAsia" w:ascii="Times New Roman" w:hAnsi="Times New Roman" w:eastAsia="仿宋_GB2312" w:cs="Times New Roman"/>
          <w:sz w:val="32"/>
          <w:szCs w:val="32"/>
        </w:rPr>
        <w:t>7.24</w:t>
      </w:r>
      <w:r>
        <w:rPr>
          <w:rFonts w:hint="eastAsia" w:ascii="仿宋_GB2312" w:hAnsi="方正仿宋简体" w:eastAsia="仿宋_GB2312" w:cs="方正仿宋简体"/>
          <w:sz w:val="32"/>
          <w:szCs w:val="32"/>
        </w:rPr>
        <w:t>万元，下降</w:t>
      </w:r>
      <w:r>
        <w:rPr>
          <w:rFonts w:hint="eastAsia" w:ascii="Times New Roman" w:hAnsi="Times New Roman" w:eastAsia="仿宋_GB2312" w:cs="Times New Roman"/>
          <w:sz w:val="32"/>
          <w:szCs w:val="32"/>
        </w:rPr>
        <w:t>2.46%</w:t>
      </w:r>
      <w:r>
        <w:rPr>
          <w:rFonts w:hint="eastAsia" w:ascii="仿宋_GB2312" w:hAnsi="方正仿宋简体" w:eastAsia="仿宋_GB2312" w:cs="方正仿宋简体"/>
          <w:sz w:val="32"/>
          <w:szCs w:val="32"/>
        </w:rPr>
        <w:t>。</w:t>
      </w:r>
    </w:p>
    <w:p w14:paraId="5096CCA9">
      <w:pPr>
        <w:spacing w:line="560" w:lineRule="exact"/>
        <w:ind w:left="640"/>
        <w:jc w:val="left"/>
        <w:rPr>
          <w:rFonts w:hint="eastAsia" w:ascii="仿宋_GB2312" w:hAnsi="方正仿宋简体" w:eastAsia="仿宋_GB2312" w:cs="方正仿宋简体"/>
          <w:sz w:val="32"/>
          <w:szCs w:val="32"/>
        </w:rPr>
      </w:pPr>
      <w:r>
        <w:rPr>
          <w:rFonts w:hint="eastAsia" w:ascii="Times New Roman" w:hAnsi="Times New Roman" w:eastAsia="仿宋_GB2312" w:cs="Times New Roman"/>
          <w:sz w:val="32"/>
          <w:szCs w:val="32"/>
        </w:rPr>
        <w:t>2024</w:t>
      </w:r>
      <w:r>
        <w:rPr>
          <w:rFonts w:hint="eastAsia" w:ascii="仿宋_GB2312" w:hAnsi="方正仿宋简体" w:eastAsia="仿宋_GB2312" w:cs="方正仿宋简体"/>
          <w:sz w:val="32"/>
          <w:szCs w:val="32"/>
        </w:rPr>
        <w:t>年本单位基本支出结转</w:t>
      </w:r>
      <w:r>
        <w:rPr>
          <w:rFonts w:hint="eastAsia" w:ascii="Times New Roman" w:hAnsi="Times New Roman" w:eastAsia="仿宋_GB2312" w:cs="Times New Roman"/>
          <w:sz w:val="32"/>
          <w:szCs w:val="32"/>
        </w:rPr>
        <w:t>0</w:t>
      </w:r>
      <w:r>
        <w:rPr>
          <w:rFonts w:hint="eastAsia" w:ascii="仿宋_GB2312" w:hAnsi="方正仿宋简体" w:eastAsia="仿宋_GB2312" w:cs="方正仿宋简体"/>
          <w:sz w:val="32"/>
          <w:szCs w:val="32"/>
        </w:rPr>
        <w:t>元。</w:t>
      </w:r>
    </w:p>
    <w:p w14:paraId="1283D0EA">
      <w:pPr>
        <w:pStyle w:val="2"/>
        <w:tabs>
          <w:tab w:val="left" w:pos="312"/>
        </w:tabs>
        <w:spacing w:line="560" w:lineRule="exact"/>
        <w:ind w:left="640"/>
        <w:rPr>
          <w:rFonts w:hint="eastAsia" w:ascii="仿宋_GB2312" w:hAnsi="方正仿宋简体" w:eastAsia="仿宋_GB2312" w:cs="方正仿宋简体"/>
          <w:b w:val="0"/>
          <w:bCs/>
          <w:sz w:val="32"/>
          <w:szCs w:val="32"/>
        </w:rPr>
      </w:pPr>
      <w:r>
        <w:rPr>
          <w:rFonts w:hint="eastAsia" w:ascii="仿宋_GB2312" w:hAnsi="方正仿宋简体" w:eastAsia="仿宋_GB2312" w:cs="方正仿宋简体"/>
          <w:b w:val="0"/>
          <w:bCs/>
          <w:sz w:val="32"/>
          <w:szCs w:val="32"/>
        </w:rPr>
        <w:t>5、本年“三公”经费预算情况</w:t>
      </w:r>
    </w:p>
    <w:p w14:paraId="45D251EF">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2024</w:t>
      </w:r>
      <w:r>
        <w:rPr>
          <w:rFonts w:hint="eastAsia" w:ascii="仿宋_GB2312" w:hAnsi="仿宋_GB2312" w:eastAsia="仿宋_GB2312" w:cs="仿宋_GB2312"/>
          <w:sz w:val="32"/>
          <w:szCs w:val="32"/>
        </w:rPr>
        <w:t>年“三公”经费预算支出</w:t>
      </w:r>
      <w:r>
        <w:rPr>
          <w:rFonts w:hint="eastAsia" w:ascii="Times New Roman" w:hAnsi="Times New Roman" w:eastAsia="仿宋_GB2312" w:cs="Times New Roman"/>
          <w:sz w:val="32"/>
          <w:szCs w:val="32"/>
        </w:rPr>
        <w:t>6.82</w:t>
      </w:r>
      <w:r>
        <w:rPr>
          <w:rFonts w:hint="eastAsia" w:ascii="仿宋_GB2312" w:hAnsi="仿宋_GB2312" w:eastAsia="仿宋_GB2312" w:cs="仿宋_GB2312"/>
          <w:sz w:val="32"/>
          <w:szCs w:val="32"/>
        </w:rPr>
        <w:t>万元，同比减少</w:t>
      </w:r>
      <w:r>
        <w:rPr>
          <w:rFonts w:hint="eastAsia" w:ascii="Times New Roman" w:hAnsi="Times New Roman" w:eastAsia="仿宋_GB2312" w:cs="Times New Roman"/>
          <w:sz w:val="32"/>
          <w:szCs w:val="32"/>
        </w:rPr>
        <w:t>9.73</w:t>
      </w:r>
      <w:r>
        <w:rPr>
          <w:rFonts w:hint="eastAsia" w:ascii="仿宋_GB2312" w:hAnsi="仿宋_GB2312" w:eastAsia="仿宋_GB2312" w:cs="仿宋_GB2312"/>
          <w:sz w:val="32"/>
          <w:szCs w:val="32"/>
        </w:rPr>
        <w:t>万元，下降</w:t>
      </w:r>
      <w:r>
        <w:rPr>
          <w:rFonts w:hint="eastAsia" w:ascii="Times New Roman" w:hAnsi="Times New Roman" w:eastAsia="仿宋_GB2312" w:cs="Times New Roman"/>
          <w:sz w:val="32"/>
          <w:szCs w:val="32"/>
        </w:rPr>
        <w:t>58.80%</w:t>
      </w:r>
      <w:r>
        <w:rPr>
          <w:rFonts w:hint="eastAsia" w:ascii="仿宋_GB2312" w:hAnsi="仿宋_GB2312" w:eastAsia="仿宋_GB2312" w:cs="仿宋_GB2312"/>
          <w:sz w:val="32"/>
          <w:szCs w:val="32"/>
        </w:rPr>
        <w:t>，其中：公务接待费</w:t>
      </w:r>
      <w:r>
        <w:rPr>
          <w:rFonts w:hint="eastAsia" w:ascii="Times New Roman" w:hAnsi="Times New Roman" w:eastAsia="仿宋_GB2312" w:cs="Times New Roman"/>
          <w:sz w:val="32"/>
          <w:szCs w:val="32"/>
        </w:rPr>
        <w:t>0</w:t>
      </w:r>
      <w:r>
        <w:rPr>
          <w:rFonts w:hint="eastAsia" w:ascii="仿宋_GB2312" w:hAnsi="仿宋_GB2312" w:eastAsia="仿宋_GB2312" w:cs="仿宋_GB2312"/>
          <w:sz w:val="32"/>
          <w:szCs w:val="32"/>
        </w:rPr>
        <w:t>万元，同比减少</w:t>
      </w:r>
      <w:r>
        <w:rPr>
          <w:rFonts w:hint="eastAsia" w:ascii="Times New Roman" w:hAnsi="Times New Roman" w:eastAsia="仿宋_GB2312" w:cs="Times New Roman"/>
          <w:sz w:val="32"/>
          <w:szCs w:val="32"/>
        </w:rPr>
        <w:t>10.40</w:t>
      </w:r>
      <w:r>
        <w:rPr>
          <w:rFonts w:hint="eastAsia" w:ascii="仿宋_GB2312" w:hAnsi="仿宋_GB2312" w:eastAsia="仿宋_GB2312" w:cs="仿宋_GB2312"/>
          <w:sz w:val="32"/>
          <w:szCs w:val="32"/>
        </w:rPr>
        <w:t>万元；公车运行维护费</w:t>
      </w:r>
      <w:r>
        <w:rPr>
          <w:rFonts w:hint="eastAsia" w:ascii="Times New Roman" w:hAnsi="Times New Roman" w:eastAsia="仿宋_GB2312" w:cs="Times New Roman"/>
          <w:sz w:val="32"/>
          <w:szCs w:val="32"/>
        </w:rPr>
        <w:t>6.15</w:t>
      </w:r>
      <w:r>
        <w:rPr>
          <w:rFonts w:hint="eastAsia" w:ascii="仿宋_GB2312" w:hAnsi="仿宋_GB2312" w:eastAsia="仿宋_GB2312" w:cs="仿宋_GB2312"/>
          <w:sz w:val="32"/>
          <w:szCs w:val="32"/>
        </w:rPr>
        <w:t>万元，同比减少</w:t>
      </w:r>
      <w:r>
        <w:rPr>
          <w:rFonts w:hint="eastAsia" w:ascii="Times New Roman" w:hAnsi="Times New Roman" w:eastAsia="仿宋_GB2312" w:cs="Times New Roman"/>
          <w:sz w:val="32"/>
          <w:szCs w:val="32"/>
        </w:rPr>
        <w:t>0.05</w:t>
      </w:r>
      <w:r>
        <w:rPr>
          <w:rFonts w:hint="eastAsia" w:ascii="仿宋_GB2312" w:hAnsi="仿宋_GB2312" w:eastAsia="仿宋_GB2312" w:cs="仿宋_GB2312"/>
          <w:sz w:val="32"/>
          <w:szCs w:val="32"/>
        </w:rPr>
        <w:t>万元，下降</w:t>
      </w:r>
      <w:r>
        <w:rPr>
          <w:rFonts w:hint="eastAsia" w:ascii="Times New Roman" w:hAnsi="Times New Roman" w:eastAsia="仿宋_GB2312" w:cs="Times New Roman"/>
          <w:sz w:val="32"/>
          <w:szCs w:val="32"/>
        </w:rPr>
        <w:t>0.81%</w:t>
      </w:r>
      <w:r>
        <w:rPr>
          <w:rFonts w:hint="eastAsia" w:ascii="仿宋_GB2312" w:hAnsi="仿宋_GB2312" w:eastAsia="仿宋_GB2312" w:cs="仿宋_GB2312"/>
          <w:sz w:val="32"/>
          <w:szCs w:val="32"/>
        </w:rPr>
        <w:t>。</w:t>
      </w:r>
    </w:p>
    <w:p w14:paraId="3D890D31">
      <w:pPr>
        <w:pStyle w:val="2"/>
        <w:numPr>
          <w:ilvl w:val="0"/>
          <w:numId w:val="1"/>
        </w:numPr>
        <w:tabs>
          <w:tab w:val="left" w:pos="312"/>
        </w:tabs>
        <w:spacing w:line="560" w:lineRule="exact"/>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“三公”经费预算执行情况</w:t>
      </w:r>
    </w:p>
    <w:p w14:paraId="2B6D3753">
      <w:pPr>
        <w:spacing w:line="560" w:lineRule="exact"/>
        <w:ind w:firstLine="640" w:firstLineChars="200"/>
        <w:rPr>
          <w:rFonts w:hint="eastAsia" w:ascii="仿宋_GB2312" w:hAnsi="方正仿宋简体" w:eastAsia="仿宋_GB2312" w:cs="方正仿宋简体"/>
          <w:bCs/>
          <w:sz w:val="32"/>
          <w:szCs w:val="32"/>
        </w:rPr>
      </w:pPr>
      <w:r>
        <w:rPr>
          <w:rFonts w:hint="eastAsia" w:ascii="Times New Roman" w:hAnsi="Times New Roman" w:eastAsia="仿宋_GB2312" w:cs="Times New Roman"/>
          <w:sz w:val="32"/>
          <w:szCs w:val="32"/>
        </w:rPr>
        <w:t>2024</w:t>
      </w:r>
      <w:r>
        <w:rPr>
          <w:rFonts w:hint="eastAsia" w:ascii="仿宋_GB2312" w:hAnsi="方正仿宋简体" w:eastAsia="仿宋_GB2312" w:cs="方正仿宋简体"/>
          <w:bCs/>
          <w:sz w:val="32"/>
          <w:szCs w:val="32"/>
        </w:rPr>
        <w:t>年，我单位“三公”经费决算支出</w:t>
      </w:r>
      <w:r>
        <w:rPr>
          <w:rFonts w:hint="eastAsia" w:ascii="Times New Roman" w:hAnsi="Times New Roman" w:eastAsia="仿宋_GB2312" w:cs="Times New Roman"/>
          <w:sz w:val="32"/>
          <w:szCs w:val="32"/>
        </w:rPr>
        <w:t>6.06</w:t>
      </w:r>
      <w:r>
        <w:rPr>
          <w:rFonts w:hint="eastAsia" w:ascii="仿宋_GB2312" w:hAnsi="方正仿宋简体" w:eastAsia="仿宋_GB2312" w:cs="方正仿宋简体"/>
          <w:bCs/>
          <w:sz w:val="32"/>
          <w:szCs w:val="32"/>
        </w:rPr>
        <w:t>万元，同比减少</w:t>
      </w:r>
      <w:r>
        <w:rPr>
          <w:rFonts w:hint="eastAsia" w:ascii="Times New Roman" w:hAnsi="Times New Roman" w:eastAsia="仿宋_GB2312" w:cs="Times New Roman"/>
          <w:sz w:val="32"/>
          <w:szCs w:val="32"/>
        </w:rPr>
        <w:t>0.01</w:t>
      </w:r>
      <w:r>
        <w:rPr>
          <w:rFonts w:hint="eastAsia" w:ascii="仿宋_GB2312" w:hAnsi="方正仿宋简体" w:eastAsia="仿宋_GB2312" w:cs="方正仿宋简体"/>
          <w:bCs/>
          <w:sz w:val="32"/>
          <w:szCs w:val="32"/>
        </w:rPr>
        <w:t>万元，下降</w:t>
      </w:r>
      <w:r>
        <w:rPr>
          <w:rFonts w:hint="eastAsia" w:ascii="Times New Roman" w:hAnsi="Times New Roman" w:eastAsia="仿宋_GB2312" w:cs="Times New Roman"/>
          <w:sz w:val="32"/>
          <w:szCs w:val="32"/>
        </w:rPr>
        <w:t>0.17%</w:t>
      </w:r>
      <w:r>
        <w:rPr>
          <w:rFonts w:hint="eastAsia" w:ascii="仿宋_GB2312" w:hAnsi="方正仿宋简体" w:eastAsia="仿宋_GB2312" w:cs="方正仿宋简体"/>
          <w:bCs/>
          <w:sz w:val="32"/>
          <w:szCs w:val="32"/>
        </w:rPr>
        <w:t>，</w:t>
      </w:r>
      <w:r>
        <w:rPr>
          <w:rFonts w:hint="eastAsia" w:ascii="仿宋_GB2312" w:hAnsi="仿宋_GB2312" w:eastAsia="仿宋_GB2312" w:cs="仿宋_GB2312"/>
          <w:sz w:val="32"/>
          <w:szCs w:val="32"/>
        </w:rPr>
        <w:t>其中：</w:t>
      </w:r>
      <w:r>
        <w:rPr>
          <w:rFonts w:hint="eastAsia" w:ascii="仿宋_GB2312" w:hAnsi="方正仿宋简体" w:eastAsia="仿宋_GB2312" w:cs="方正仿宋简体"/>
          <w:bCs/>
          <w:sz w:val="32"/>
          <w:szCs w:val="32"/>
        </w:rPr>
        <w:t>因公出国（境）费完成</w:t>
      </w:r>
      <w:r>
        <w:rPr>
          <w:rFonts w:hint="eastAsia" w:ascii="Times New Roman" w:hAnsi="Times New Roman" w:eastAsia="仿宋_GB2312" w:cs="Times New Roman"/>
          <w:sz w:val="32"/>
          <w:szCs w:val="32"/>
        </w:rPr>
        <w:t>0</w:t>
      </w:r>
      <w:r>
        <w:rPr>
          <w:rFonts w:hint="eastAsia" w:ascii="仿宋_GB2312" w:hAnsi="方正仿宋简体" w:eastAsia="仿宋_GB2312" w:cs="方正仿宋简体"/>
          <w:bCs/>
          <w:sz w:val="32"/>
          <w:szCs w:val="32"/>
        </w:rPr>
        <w:t>元；公务接待费完成</w:t>
      </w:r>
      <w:r>
        <w:rPr>
          <w:rFonts w:hint="eastAsia" w:ascii="Times New Roman" w:hAnsi="Times New Roman" w:eastAsia="仿宋_GB2312" w:cs="Times New Roman"/>
          <w:sz w:val="32"/>
          <w:szCs w:val="32"/>
        </w:rPr>
        <w:t>0</w:t>
      </w:r>
      <w:r>
        <w:rPr>
          <w:rFonts w:hint="eastAsia" w:ascii="仿宋_GB2312" w:hAnsi="方正仿宋简体" w:eastAsia="仿宋_GB2312" w:cs="方正仿宋简体"/>
          <w:bCs/>
          <w:sz w:val="32"/>
          <w:szCs w:val="32"/>
        </w:rPr>
        <w:t>元；公务用车购置及运行维护费完成</w:t>
      </w:r>
      <w:r>
        <w:rPr>
          <w:rFonts w:hint="eastAsia" w:ascii="Times New Roman" w:hAnsi="Times New Roman" w:eastAsia="仿宋_GB2312" w:cs="Times New Roman"/>
          <w:sz w:val="32"/>
          <w:szCs w:val="32"/>
        </w:rPr>
        <w:t>6.06</w:t>
      </w:r>
      <w:r>
        <w:rPr>
          <w:rFonts w:hint="eastAsia" w:ascii="仿宋_GB2312" w:hAnsi="方正仿宋简体" w:eastAsia="仿宋_GB2312" w:cs="方正仿宋简体"/>
          <w:bCs/>
          <w:sz w:val="32"/>
          <w:szCs w:val="32"/>
        </w:rPr>
        <w:t>万元，</w:t>
      </w:r>
      <w:r>
        <w:rPr>
          <w:rFonts w:hint="eastAsia" w:ascii="仿宋_GB2312" w:hAnsi="仿宋_GB2312" w:eastAsia="仿宋_GB2312" w:cs="仿宋_GB2312"/>
          <w:sz w:val="32"/>
          <w:szCs w:val="32"/>
        </w:rPr>
        <w:t>同比减少</w:t>
      </w:r>
      <w:r>
        <w:rPr>
          <w:rFonts w:hint="eastAsia" w:ascii="Times New Roman" w:hAnsi="Times New Roman" w:eastAsia="仿宋_GB2312" w:cs="Times New Roman"/>
          <w:sz w:val="32"/>
          <w:szCs w:val="32"/>
        </w:rPr>
        <w:t>0.01</w:t>
      </w:r>
      <w:r>
        <w:rPr>
          <w:rFonts w:hint="eastAsia" w:ascii="仿宋_GB2312" w:hAnsi="仿宋_GB2312" w:eastAsia="仿宋_GB2312" w:cs="仿宋_GB2312"/>
          <w:sz w:val="32"/>
          <w:szCs w:val="32"/>
        </w:rPr>
        <w:t>万元，下降</w:t>
      </w:r>
      <w:r>
        <w:rPr>
          <w:rFonts w:hint="eastAsia" w:ascii="Times New Roman" w:hAnsi="Times New Roman" w:eastAsia="仿宋_GB2312" w:cs="Times New Roman"/>
          <w:sz w:val="32"/>
          <w:szCs w:val="32"/>
        </w:rPr>
        <w:t>0.17%</w:t>
      </w:r>
      <w:r>
        <w:rPr>
          <w:rFonts w:hint="eastAsia" w:ascii="仿宋_GB2312" w:hAnsi="方正仿宋简体" w:eastAsia="仿宋_GB2312" w:cs="方正仿宋简体"/>
          <w:bCs/>
          <w:sz w:val="32"/>
          <w:szCs w:val="32"/>
        </w:rPr>
        <w:t>。</w:t>
      </w:r>
    </w:p>
    <w:p w14:paraId="264FDA4B">
      <w:pPr>
        <w:spacing w:line="560" w:lineRule="exact"/>
        <w:ind w:firstLine="640" w:firstLineChars="200"/>
        <w:rPr>
          <w:rFonts w:hint="eastAsia" w:ascii="仿宋_GB2312" w:hAnsi="方正仿宋简体" w:eastAsia="仿宋_GB2312" w:cs="方正仿宋简体"/>
          <w:bCs/>
          <w:sz w:val="32"/>
          <w:szCs w:val="32"/>
        </w:rPr>
      </w:pPr>
      <w:r>
        <w:rPr>
          <w:rFonts w:hint="eastAsia" w:ascii="仿宋_GB2312" w:hAnsi="方正仿宋简体" w:eastAsia="仿宋_GB2312" w:cs="方正仿宋简体"/>
          <w:bCs/>
          <w:sz w:val="32"/>
          <w:szCs w:val="32"/>
        </w:rPr>
        <w:t xml:space="preserve"> 7、与上年比较“三公经费”控制情况</w:t>
      </w:r>
    </w:p>
    <w:p w14:paraId="2E159BEC">
      <w:pPr>
        <w:spacing w:line="560" w:lineRule="exact"/>
        <w:ind w:firstLine="640" w:firstLineChars="200"/>
        <w:rPr>
          <w:rFonts w:hint="eastAsia" w:ascii="仿宋_GB2312" w:hAnsi="方正仿宋简体" w:eastAsia="仿宋_GB2312" w:cs="方正仿宋简体"/>
          <w:bCs/>
          <w:sz w:val="32"/>
          <w:szCs w:val="32"/>
        </w:rPr>
      </w:pPr>
      <w:r>
        <w:rPr>
          <w:rFonts w:hint="eastAsia" w:ascii="仿宋_GB2312" w:hAnsi="方正仿宋简体" w:eastAsia="仿宋_GB2312" w:cs="方正仿宋简体"/>
          <w:bCs/>
          <w:sz w:val="32"/>
          <w:szCs w:val="32"/>
        </w:rPr>
        <w:t xml:space="preserve"> </w:t>
      </w:r>
      <w:r>
        <w:rPr>
          <w:rFonts w:hint="eastAsia" w:ascii="Times New Roman" w:hAnsi="Times New Roman" w:eastAsia="仿宋_GB2312" w:cs="Times New Roman"/>
          <w:sz w:val="32"/>
          <w:szCs w:val="32"/>
        </w:rPr>
        <w:t>2024</w:t>
      </w:r>
      <w:r>
        <w:rPr>
          <w:rFonts w:hint="eastAsia" w:ascii="仿宋_GB2312" w:hAnsi="方正仿宋简体" w:eastAsia="仿宋_GB2312" w:cs="方正仿宋简体"/>
          <w:bCs/>
          <w:sz w:val="32"/>
          <w:szCs w:val="32"/>
        </w:rPr>
        <w:t>年度“三公”经费同比减少</w:t>
      </w:r>
      <w:r>
        <w:rPr>
          <w:rFonts w:hint="eastAsia" w:ascii="Times New Roman" w:hAnsi="Times New Roman" w:eastAsia="仿宋_GB2312" w:cs="Times New Roman"/>
          <w:sz w:val="32"/>
          <w:szCs w:val="32"/>
        </w:rPr>
        <w:t>0.01</w:t>
      </w:r>
      <w:r>
        <w:rPr>
          <w:rFonts w:hint="eastAsia" w:ascii="仿宋_GB2312" w:hAnsi="方正仿宋简体" w:eastAsia="仿宋_GB2312" w:cs="方正仿宋简体"/>
          <w:bCs/>
          <w:sz w:val="32"/>
          <w:szCs w:val="32"/>
        </w:rPr>
        <w:t>万元，下降</w:t>
      </w:r>
      <w:r>
        <w:rPr>
          <w:rFonts w:hint="eastAsia" w:ascii="Times New Roman" w:hAnsi="Times New Roman" w:eastAsia="仿宋_GB2312" w:cs="Times New Roman"/>
          <w:sz w:val="32"/>
          <w:szCs w:val="32"/>
        </w:rPr>
        <w:t>0.17%</w:t>
      </w:r>
      <w:r>
        <w:rPr>
          <w:rFonts w:hint="eastAsia" w:ascii="仿宋_GB2312" w:hAnsi="方正仿宋简体" w:eastAsia="仿宋_GB2312" w:cs="方正仿宋简体"/>
          <w:bCs/>
          <w:sz w:val="32"/>
          <w:szCs w:val="32"/>
        </w:rPr>
        <w:t>。</w:t>
      </w:r>
      <w:r>
        <w:rPr>
          <w:rFonts w:hint="eastAsia" w:ascii="仿宋_GB2312" w:hAnsi="仿宋_GB2312" w:eastAsia="仿宋_GB2312" w:cs="仿宋_GB2312"/>
          <w:sz w:val="32"/>
          <w:szCs w:val="32"/>
        </w:rPr>
        <w:t>其中：</w:t>
      </w:r>
      <w:r>
        <w:rPr>
          <w:rFonts w:hint="eastAsia" w:ascii="仿宋_GB2312" w:hAnsi="方正仿宋简体" w:eastAsia="仿宋_GB2312" w:cs="方正仿宋简体"/>
          <w:bCs/>
          <w:sz w:val="32"/>
          <w:szCs w:val="32"/>
        </w:rPr>
        <w:t>因公出国（境）费完成</w:t>
      </w:r>
      <w:r>
        <w:rPr>
          <w:rFonts w:hint="eastAsia" w:ascii="Times New Roman" w:hAnsi="Times New Roman" w:eastAsia="仿宋_GB2312" w:cs="Times New Roman"/>
          <w:sz w:val="32"/>
          <w:szCs w:val="32"/>
        </w:rPr>
        <w:t>0</w:t>
      </w:r>
      <w:r>
        <w:rPr>
          <w:rFonts w:hint="eastAsia" w:ascii="仿宋_GB2312" w:hAnsi="方正仿宋简体" w:eastAsia="仿宋_GB2312" w:cs="方正仿宋简体"/>
          <w:bCs/>
          <w:sz w:val="32"/>
          <w:szCs w:val="32"/>
        </w:rPr>
        <w:t>元；公务接待费完成</w:t>
      </w:r>
      <w:r>
        <w:rPr>
          <w:rFonts w:hint="eastAsia" w:ascii="Times New Roman" w:hAnsi="Times New Roman" w:eastAsia="仿宋_GB2312" w:cs="Times New Roman"/>
          <w:sz w:val="32"/>
          <w:szCs w:val="32"/>
        </w:rPr>
        <w:t>0</w:t>
      </w:r>
      <w:r>
        <w:rPr>
          <w:rFonts w:hint="eastAsia" w:ascii="仿宋_GB2312" w:hAnsi="方正仿宋简体" w:eastAsia="仿宋_GB2312" w:cs="方正仿宋简体"/>
          <w:bCs/>
          <w:sz w:val="32"/>
          <w:szCs w:val="32"/>
        </w:rPr>
        <w:t>万元，</w:t>
      </w:r>
      <w:r>
        <w:rPr>
          <w:rFonts w:hint="eastAsia" w:ascii="Times New Roman" w:hAnsi="Times New Roman" w:eastAsia="仿宋_GB2312" w:cs="Times New Roman"/>
          <w:sz w:val="32"/>
          <w:szCs w:val="32"/>
        </w:rPr>
        <w:t>0</w:t>
      </w:r>
      <w:r>
        <w:rPr>
          <w:rFonts w:hint="eastAsia" w:ascii="仿宋_GB2312" w:hAnsi="仿宋_GB2312" w:eastAsia="仿宋_GB2312" w:cs="仿宋_GB2312"/>
          <w:sz w:val="32"/>
          <w:szCs w:val="32"/>
        </w:rPr>
        <w:t>元</w:t>
      </w:r>
      <w:r>
        <w:rPr>
          <w:rFonts w:hint="eastAsia" w:ascii="仿宋_GB2312" w:hAnsi="方正仿宋简体" w:eastAsia="仿宋_GB2312" w:cs="方正仿宋简体"/>
          <w:bCs/>
          <w:sz w:val="32"/>
          <w:szCs w:val="32"/>
        </w:rPr>
        <w:t>；公务用车购置及运行维护费完成</w:t>
      </w:r>
      <w:r>
        <w:rPr>
          <w:rFonts w:hint="eastAsia" w:ascii="Times New Roman" w:hAnsi="Times New Roman" w:eastAsia="仿宋_GB2312" w:cs="Times New Roman"/>
          <w:sz w:val="32"/>
          <w:szCs w:val="32"/>
        </w:rPr>
        <w:t>6.06</w:t>
      </w:r>
      <w:r>
        <w:rPr>
          <w:rFonts w:hint="eastAsia" w:ascii="仿宋_GB2312" w:hAnsi="方正仿宋简体" w:eastAsia="仿宋_GB2312" w:cs="方正仿宋简体"/>
          <w:bCs/>
          <w:sz w:val="32"/>
          <w:szCs w:val="32"/>
        </w:rPr>
        <w:t>万元，</w:t>
      </w:r>
      <w:r>
        <w:rPr>
          <w:rFonts w:hint="eastAsia" w:ascii="仿宋_GB2312" w:hAnsi="仿宋_GB2312" w:eastAsia="仿宋_GB2312" w:cs="仿宋_GB2312"/>
          <w:sz w:val="32"/>
          <w:szCs w:val="32"/>
        </w:rPr>
        <w:t>同比减少</w:t>
      </w:r>
      <w:r>
        <w:rPr>
          <w:rFonts w:hint="eastAsia" w:ascii="Times New Roman" w:hAnsi="Times New Roman" w:eastAsia="仿宋_GB2312" w:cs="Times New Roman"/>
          <w:sz w:val="32"/>
          <w:szCs w:val="32"/>
        </w:rPr>
        <w:t>0.01</w:t>
      </w:r>
      <w:r>
        <w:rPr>
          <w:rFonts w:hint="eastAsia" w:ascii="仿宋_GB2312" w:hAnsi="仿宋_GB2312" w:eastAsia="仿宋_GB2312" w:cs="仿宋_GB2312"/>
          <w:sz w:val="32"/>
          <w:szCs w:val="32"/>
        </w:rPr>
        <w:t>万元，下降</w:t>
      </w:r>
      <w:r>
        <w:rPr>
          <w:rFonts w:hint="eastAsia" w:ascii="Times New Roman" w:hAnsi="Times New Roman" w:eastAsia="仿宋_GB2312" w:cs="Times New Roman"/>
          <w:sz w:val="32"/>
          <w:szCs w:val="32"/>
        </w:rPr>
        <w:t>0.17%</w:t>
      </w:r>
      <w:r>
        <w:rPr>
          <w:rFonts w:hint="eastAsia" w:ascii="仿宋_GB2312" w:hAnsi="方正仿宋简体" w:eastAsia="仿宋_GB2312" w:cs="方正仿宋简体"/>
          <w:bCs/>
          <w:sz w:val="32"/>
          <w:szCs w:val="32"/>
        </w:rPr>
        <w:t>。</w:t>
      </w:r>
    </w:p>
    <w:p w14:paraId="7B34012D">
      <w:pPr>
        <w:spacing w:line="6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（二）专项支出的管理和使用情况</w:t>
      </w:r>
    </w:p>
    <w:p w14:paraId="77C55FEB">
      <w:pPr>
        <w:pStyle w:val="2"/>
        <w:numPr>
          <w:ilvl w:val="0"/>
          <w:numId w:val="2"/>
        </w:numPr>
        <w:spacing w:line="560" w:lineRule="exact"/>
        <w:ind w:firstLine="640" w:firstLineChars="200"/>
        <w:rPr>
          <w:rFonts w:hint="eastAsia" w:ascii="仿宋_GB2312" w:hAnsi="方正仿宋简体" w:eastAsia="仿宋_GB2312" w:cs="方正仿宋简体"/>
          <w:b w:val="0"/>
          <w:bCs/>
          <w:caps w:val="0"/>
          <w:sz w:val="32"/>
          <w:szCs w:val="32"/>
        </w:rPr>
      </w:pPr>
      <w:r>
        <w:rPr>
          <w:rFonts w:hint="eastAsia" w:ascii="仿宋_GB2312" w:hAnsi="方正仿宋简体" w:eastAsia="仿宋_GB2312" w:cs="方正仿宋简体"/>
          <w:b w:val="0"/>
          <w:bCs/>
          <w:caps w:val="0"/>
          <w:sz w:val="32"/>
          <w:szCs w:val="32"/>
        </w:rPr>
        <w:t>专项资金（包括财政资金、自筹资金等）安排落实，总投入等情况分析</w:t>
      </w:r>
    </w:p>
    <w:p w14:paraId="61EDD1FC">
      <w:pPr>
        <w:spacing w:line="560" w:lineRule="exact"/>
        <w:ind w:firstLine="640" w:firstLineChars="200"/>
        <w:rPr>
          <w:rFonts w:ascii="仿宋_GB2312" w:hAnsi="å®‹ä½“" w:eastAsia="仿宋_GB2312" w:cs="仿宋_GB2312"/>
          <w:color w:val="333333"/>
          <w:sz w:val="31"/>
          <w:szCs w:val="31"/>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仿宋_GB2312" w:hAnsi="å®‹ä½“" w:eastAsia="仿宋_GB2312" w:cs="仿宋_GB2312"/>
          <w:color w:val="333333"/>
          <w:sz w:val="31"/>
          <w:szCs w:val="31"/>
        </w:rPr>
        <w:t>年度项目支出</w:t>
      </w:r>
      <w:r>
        <w:rPr>
          <w:rFonts w:hint="eastAsia" w:ascii="Times New Roman" w:hAnsi="Times New Roman" w:eastAsia="仿宋_GB2312" w:cs="Times New Roman"/>
          <w:sz w:val="32"/>
          <w:szCs w:val="32"/>
        </w:rPr>
        <w:t>10154.85</w:t>
      </w:r>
      <w:r>
        <w:rPr>
          <w:rFonts w:ascii="仿宋_GB2312" w:hAnsi="å®‹ä½“" w:eastAsia="仿宋_GB2312" w:cs="仿宋_GB2312"/>
          <w:color w:val="333333"/>
          <w:sz w:val="31"/>
          <w:szCs w:val="31"/>
        </w:rPr>
        <w:t>万元，</w:t>
      </w:r>
      <w:r>
        <w:rPr>
          <w:rFonts w:hint="eastAsia" w:ascii="仿宋_GB2312" w:hAnsi="å®‹ä½“" w:eastAsia="仿宋_GB2312" w:cs="仿宋_GB2312"/>
          <w:color w:val="333333"/>
          <w:sz w:val="31"/>
          <w:szCs w:val="31"/>
        </w:rPr>
        <w:t>其中：财政拨款</w:t>
      </w:r>
      <w:r>
        <w:rPr>
          <w:rFonts w:hint="eastAsia" w:ascii="Times New Roman" w:hAnsi="Times New Roman" w:eastAsia="仿宋_GB2312" w:cs="Times New Roman"/>
          <w:sz w:val="32"/>
          <w:szCs w:val="32"/>
        </w:rPr>
        <w:t>3419.64</w:t>
      </w:r>
      <w:r>
        <w:rPr>
          <w:rFonts w:hint="eastAsia" w:ascii="仿宋_GB2312" w:hAnsi="å®‹ä½“" w:eastAsia="仿宋_GB2312" w:cs="仿宋_GB2312"/>
          <w:color w:val="333333"/>
          <w:sz w:val="31"/>
          <w:szCs w:val="31"/>
        </w:rPr>
        <w:t>万元，其他资金</w:t>
      </w:r>
      <w:r>
        <w:rPr>
          <w:rFonts w:hint="eastAsia" w:ascii="Times New Roman" w:hAnsi="Times New Roman" w:eastAsia="仿宋_GB2312" w:cs="Times New Roman"/>
          <w:sz w:val="32"/>
          <w:szCs w:val="32"/>
        </w:rPr>
        <w:t>6735.21</w:t>
      </w:r>
      <w:r>
        <w:rPr>
          <w:rFonts w:hint="eastAsia" w:ascii="仿宋_GB2312" w:hAnsi="å®‹ä½“" w:eastAsia="仿宋_GB2312" w:cs="仿宋_GB2312"/>
          <w:color w:val="333333"/>
          <w:sz w:val="31"/>
          <w:szCs w:val="31"/>
        </w:rPr>
        <w:t>万元。</w:t>
      </w:r>
    </w:p>
    <w:p w14:paraId="44A18585">
      <w:pPr>
        <w:pStyle w:val="2"/>
        <w:numPr>
          <w:ilvl w:val="0"/>
          <w:numId w:val="2"/>
        </w:numPr>
        <w:spacing w:line="560" w:lineRule="exact"/>
        <w:ind w:firstLine="640" w:firstLineChars="200"/>
        <w:jc w:val="left"/>
        <w:rPr>
          <w:rFonts w:hint="eastAsia" w:ascii="仿宋_GB2312" w:hAnsi="方正仿宋简体" w:eastAsia="仿宋_GB2312" w:cs="方正仿宋简体"/>
          <w:b w:val="0"/>
          <w:bCs/>
          <w:caps w:val="0"/>
          <w:sz w:val="32"/>
          <w:szCs w:val="32"/>
        </w:rPr>
      </w:pPr>
      <w:r>
        <w:rPr>
          <w:rFonts w:hint="eastAsia" w:ascii="仿宋_GB2312" w:hAnsi="方正仿宋简体" w:eastAsia="仿宋_GB2312" w:cs="方正仿宋简体"/>
          <w:b w:val="0"/>
          <w:bCs/>
          <w:caps w:val="0"/>
          <w:sz w:val="32"/>
          <w:szCs w:val="32"/>
        </w:rPr>
        <w:t>专项资金（主要指财政资金）实际使用情况分析</w:t>
      </w:r>
    </w:p>
    <w:p w14:paraId="70DC127E">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Times New Roman" w:hAnsi="Times New Roman" w:eastAsia="仿宋_GB2312" w:cs="Times New Roman"/>
          <w:sz w:val="32"/>
          <w:szCs w:val="32"/>
        </w:rPr>
        <w:t>2024</w:t>
      </w:r>
      <w:r>
        <w:rPr>
          <w:rFonts w:hint="eastAsia" w:ascii="仿宋_GB2312" w:hAnsi="方正仿宋简体" w:eastAsia="仿宋_GB2312" w:cs="方正仿宋简体"/>
          <w:sz w:val="32"/>
          <w:szCs w:val="32"/>
        </w:rPr>
        <w:t>年度专项支出决算数为</w:t>
      </w:r>
      <w:r>
        <w:rPr>
          <w:rFonts w:hint="eastAsia" w:ascii="Times New Roman" w:hAnsi="Times New Roman" w:eastAsia="仿宋_GB2312" w:cs="Times New Roman"/>
          <w:sz w:val="32"/>
          <w:szCs w:val="32"/>
        </w:rPr>
        <w:t>10154.85</w:t>
      </w:r>
      <w:r>
        <w:rPr>
          <w:rFonts w:hint="eastAsia" w:ascii="仿宋_GB2312" w:hAnsi="方正仿宋简体" w:eastAsia="仿宋_GB2312" w:cs="方正仿宋简体"/>
          <w:sz w:val="32"/>
          <w:szCs w:val="32"/>
        </w:rPr>
        <w:t>万元，</w:t>
      </w:r>
      <w:r>
        <w:rPr>
          <w:rFonts w:hint="eastAsia" w:ascii="仿宋_GB2312" w:hAnsi="方正仿宋简体" w:eastAsia="仿宋_GB2312" w:cs="方正仿宋简体"/>
          <w:sz w:val="32"/>
          <w:szCs w:val="32"/>
          <w:lang w:val="zh-CN"/>
        </w:rPr>
        <w:t>主要用于以下方面：</w:t>
      </w:r>
      <w:r>
        <w:rPr>
          <w:rFonts w:hint="eastAsia" w:ascii="仿宋_GB2312" w:hAnsi="仿宋_GB2312" w:eastAsia="仿宋_GB2312" w:cs="仿宋_GB2312"/>
          <w:color w:val="000000"/>
          <w:kern w:val="0"/>
          <w:sz w:val="32"/>
          <w:szCs w:val="32"/>
          <w:shd w:val="clear" w:color="auto" w:fill="FFFFFF"/>
        </w:rPr>
        <w:t>一般公共服务支出</w:t>
      </w:r>
      <w:r>
        <w:rPr>
          <w:rFonts w:hint="eastAsia" w:ascii="Times New Roman" w:hAnsi="Times New Roman" w:eastAsia="仿宋_GB2312" w:cs="Times New Roman"/>
          <w:sz w:val="32"/>
          <w:szCs w:val="32"/>
        </w:rPr>
        <w:t>372.56</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3.67%</w:t>
      </w:r>
      <w:r>
        <w:rPr>
          <w:rFonts w:hint="eastAsia" w:ascii="仿宋_GB2312" w:hAnsi="仿宋_GB2312" w:eastAsia="仿宋_GB2312" w:cs="仿宋_GB2312"/>
          <w:color w:val="000000"/>
          <w:kern w:val="0"/>
          <w:sz w:val="32"/>
          <w:szCs w:val="32"/>
          <w:shd w:val="clear" w:color="auto" w:fill="FFFFFF"/>
        </w:rPr>
        <w:t>；公共安全支出</w:t>
      </w:r>
      <w:r>
        <w:rPr>
          <w:rFonts w:hint="eastAsia" w:ascii="Times New Roman" w:hAnsi="Times New Roman" w:eastAsia="仿宋_GB2312" w:cs="Times New Roman"/>
          <w:sz w:val="32"/>
          <w:szCs w:val="32"/>
        </w:rPr>
        <w:t>14.61</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0.15%</w:t>
      </w:r>
      <w:r>
        <w:rPr>
          <w:rFonts w:hint="eastAsia" w:ascii="仿宋_GB2312" w:hAnsi="仿宋_GB2312" w:eastAsia="仿宋_GB2312" w:cs="仿宋_GB2312"/>
          <w:color w:val="000000"/>
          <w:kern w:val="0"/>
          <w:sz w:val="32"/>
          <w:szCs w:val="32"/>
          <w:shd w:val="clear" w:color="auto" w:fill="FFFFFF"/>
        </w:rPr>
        <w:t>；教育支出</w:t>
      </w:r>
      <w:r>
        <w:rPr>
          <w:rFonts w:hint="eastAsia" w:ascii="Times New Roman" w:hAnsi="Times New Roman" w:eastAsia="仿宋_GB2312" w:cs="Times New Roman"/>
          <w:sz w:val="32"/>
          <w:szCs w:val="32"/>
        </w:rPr>
        <w:t>83.67</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0.83%</w:t>
      </w:r>
      <w:r>
        <w:rPr>
          <w:rFonts w:hint="eastAsia" w:ascii="仿宋_GB2312" w:hAnsi="仿宋_GB2312" w:eastAsia="仿宋_GB2312" w:cs="仿宋_GB2312"/>
          <w:color w:val="000000"/>
          <w:kern w:val="0"/>
          <w:sz w:val="32"/>
          <w:szCs w:val="32"/>
          <w:shd w:val="clear" w:color="auto" w:fill="FFFFFF"/>
        </w:rPr>
        <w:t>；科学技术支出</w:t>
      </w:r>
      <w:r>
        <w:rPr>
          <w:rFonts w:hint="eastAsia" w:ascii="Times New Roman" w:hAnsi="Times New Roman" w:eastAsia="仿宋_GB2312" w:cs="Times New Roman"/>
          <w:sz w:val="32"/>
          <w:szCs w:val="32"/>
        </w:rPr>
        <w:t>36.80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0.37%</w:t>
      </w:r>
      <w:r>
        <w:rPr>
          <w:rFonts w:hint="eastAsia" w:ascii="仿宋_GB2312" w:hAnsi="仿宋_GB2312" w:eastAsia="仿宋_GB2312" w:cs="仿宋_GB2312"/>
          <w:color w:val="000000"/>
          <w:kern w:val="0"/>
          <w:sz w:val="32"/>
          <w:szCs w:val="32"/>
          <w:shd w:val="clear" w:color="auto" w:fill="FFFFFF"/>
        </w:rPr>
        <w:t>；文化旅游体育与传媒支出</w:t>
      </w:r>
      <w:r>
        <w:rPr>
          <w:rFonts w:hint="eastAsia" w:ascii="Times New Roman" w:hAnsi="Times New Roman" w:eastAsia="仿宋_GB2312" w:cs="Times New Roman"/>
          <w:sz w:val="32"/>
          <w:szCs w:val="32"/>
        </w:rPr>
        <w:t>9.00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0.09%</w:t>
      </w:r>
      <w:r>
        <w:rPr>
          <w:rFonts w:hint="eastAsia" w:ascii="仿宋_GB2312" w:hAnsi="仿宋_GB2312" w:eastAsia="仿宋_GB2312" w:cs="仿宋_GB2312"/>
          <w:color w:val="000000"/>
          <w:kern w:val="0"/>
          <w:sz w:val="32"/>
          <w:szCs w:val="32"/>
          <w:shd w:val="clear" w:color="auto" w:fill="FFFFFF"/>
        </w:rPr>
        <w:t>；社会保障和就业支出</w:t>
      </w:r>
      <w:r>
        <w:rPr>
          <w:rFonts w:hint="eastAsia" w:ascii="Times New Roman" w:hAnsi="Times New Roman" w:eastAsia="仿宋_GB2312" w:cs="Times New Roman"/>
          <w:sz w:val="32"/>
          <w:szCs w:val="32"/>
        </w:rPr>
        <w:t>1617.79</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15.94%</w:t>
      </w:r>
      <w:r>
        <w:rPr>
          <w:rFonts w:hint="eastAsia" w:ascii="仿宋_GB2312" w:hAnsi="仿宋_GB2312" w:eastAsia="仿宋_GB2312" w:cs="仿宋_GB2312"/>
          <w:color w:val="000000"/>
          <w:kern w:val="0"/>
          <w:sz w:val="32"/>
          <w:szCs w:val="32"/>
          <w:shd w:val="clear" w:color="auto" w:fill="FFFFFF"/>
        </w:rPr>
        <w:t>；卫生健康支出</w:t>
      </w:r>
      <w:r>
        <w:rPr>
          <w:rFonts w:hint="eastAsia" w:ascii="Times New Roman" w:hAnsi="Times New Roman" w:eastAsia="仿宋_GB2312" w:cs="Times New Roman"/>
          <w:sz w:val="32"/>
          <w:szCs w:val="32"/>
        </w:rPr>
        <w:t>15.46</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0.06%</w:t>
      </w:r>
      <w:r>
        <w:rPr>
          <w:rFonts w:hint="eastAsia" w:ascii="仿宋_GB2312" w:hAnsi="仿宋_GB2312" w:eastAsia="仿宋_GB2312" w:cs="仿宋_GB2312"/>
          <w:color w:val="000000"/>
          <w:kern w:val="0"/>
          <w:sz w:val="32"/>
          <w:szCs w:val="32"/>
          <w:shd w:val="clear" w:color="auto" w:fill="FFFFFF"/>
        </w:rPr>
        <w:t>；节能环保支出</w:t>
      </w:r>
      <w:r>
        <w:rPr>
          <w:rFonts w:hint="eastAsia" w:ascii="Times New Roman" w:hAnsi="Times New Roman" w:eastAsia="仿宋_GB2312" w:cs="Times New Roman"/>
          <w:sz w:val="32"/>
          <w:szCs w:val="32"/>
        </w:rPr>
        <w:t>43.00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0.43%</w:t>
      </w:r>
      <w:r>
        <w:rPr>
          <w:rFonts w:hint="eastAsia" w:ascii="仿宋_GB2312" w:hAnsi="仿宋_GB2312" w:eastAsia="仿宋_GB2312" w:cs="仿宋_GB2312"/>
          <w:color w:val="000000"/>
          <w:kern w:val="0"/>
          <w:sz w:val="32"/>
          <w:szCs w:val="32"/>
          <w:shd w:val="clear" w:color="auto" w:fill="FFFFFF"/>
        </w:rPr>
        <w:t>；城乡社区支出</w:t>
      </w:r>
      <w:r>
        <w:rPr>
          <w:rFonts w:hint="eastAsia" w:ascii="Times New Roman" w:hAnsi="Times New Roman" w:eastAsia="仿宋_GB2312" w:cs="Times New Roman"/>
          <w:sz w:val="32"/>
          <w:szCs w:val="32"/>
        </w:rPr>
        <w:t>2612.38</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25.73%</w:t>
      </w:r>
      <w:r>
        <w:rPr>
          <w:rFonts w:hint="eastAsia" w:ascii="仿宋_GB2312" w:hAnsi="仿宋_GB2312" w:eastAsia="仿宋_GB2312" w:cs="仿宋_GB2312"/>
          <w:color w:val="000000"/>
          <w:kern w:val="0"/>
          <w:sz w:val="32"/>
          <w:szCs w:val="32"/>
          <w:shd w:val="clear" w:color="auto" w:fill="FFFFFF"/>
        </w:rPr>
        <w:t>；农林水支出</w:t>
      </w:r>
      <w:r>
        <w:rPr>
          <w:rFonts w:hint="eastAsia" w:ascii="Times New Roman" w:hAnsi="Times New Roman" w:eastAsia="仿宋_GB2312" w:cs="Times New Roman"/>
          <w:sz w:val="32"/>
          <w:szCs w:val="32"/>
        </w:rPr>
        <w:t>740.98</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7.30%</w:t>
      </w:r>
      <w:r>
        <w:rPr>
          <w:rFonts w:hint="eastAsia" w:ascii="仿宋_GB2312" w:hAnsi="仿宋_GB2312" w:eastAsia="仿宋_GB2312" w:cs="仿宋_GB2312"/>
          <w:color w:val="000000"/>
          <w:kern w:val="0"/>
          <w:sz w:val="32"/>
          <w:szCs w:val="32"/>
          <w:shd w:val="clear" w:color="auto" w:fill="FFFFFF"/>
        </w:rPr>
        <w:t>；交通运输支出</w:t>
      </w:r>
      <w:r>
        <w:rPr>
          <w:rFonts w:hint="eastAsia" w:ascii="Times New Roman" w:hAnsi="Times New Roman" w:eastAsia="仿宋_GB2312" w:cs="Times New Roman"/>
          <w:sz w:val="32"/>
          <w:szCs w:val="32"/>
        </w:rPr>
        <w:t>104.19</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1.03%</w:t>
      </w:r>
      <w:r>
        <w:rPr>
          <w:rFonts w:hint="eastAsia" w:ascii="仿宋_GB2312" w:hAnsi="仿宋_GB2312" w:eastAsia="仿宋_GB2312" w:cs="仿宋_GB2312"/>
          <w:color w:val="000000"/>
          <w:kern w:val="0"/>
          <w:sz w:val="32"/>
          <w:szCs w:val="32"/>
          <w:shd w:val="clear" w:color="auto" w:fill="FFFFFF"/>
        </w:rPr>
        <w:t>；商业服务业等支出</w:t>
      </w:r>
      <w:r>
        <w:rPr>
          <w:rFonts w:hint="eastAsia" w:ascii="Times New Roman" w:hAnsi="Times New Roman" w:eastAsia="仿宋_GB2312" w:cs="Times New Roman"/>
          <w:sz w:val="32"/>
          <w:szCs w:val="32"/>
        </w:rPr>
        <w:t>20.00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0.20%；</w:t>
      </w:r>
      <w:r>
        <w:rPr>
          <w:rFonts w:hint="eastAsia" w:ascii="仿宋_GB2312" w:hAnsi="仿宋_GB2312" w:eastAsia="仿宋_GB2312" w:cs="仿宋_GB2312"/>
          <w:color w:val="000000"/>
          <w:kern w:val="0"/>
          <w:sz w:val="32"/>
          <w:szCs w:val="32"/>
          <w:shd w:val="clear" w:color="auto" w:fill="FFFFFF"/>
        </w:rPr>
        <w:t>自然资源海洋气象等支出</w:t>
      </w:r>
      <w:r>
        <w:rPr>
          <w:rFonts w:hint="eastAsia" w:ascii="Times New Roman" w:hAnsi="Times New Roman" w:eastAsia="仿宋_GB2312" w:cs="Times New Roman"/>
          <w:sz w:val="32"/>
          <w:szCs w:val="32"/>
        </w:rPr>
        <w:t>70.48</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0.70%</w:t>
      </w:r>
      <w:r>
        <w:rPr>
          <w:rFonts w:hint="eastAsia" w:ascii="仿宋_GB2312" w:hAnsi="仿宋_GB2312" w:eastAsia="仿宋_GB2312" w:cs="仿宋_GB2312"/>
          <w:color w:val="000000"/>
          <w:kern w:val="0"/>
          <w:sz w:val="32"/>
          <w:szCs w:val="32"/>
          <w:shd w:val="clear" w:color="auto" w:fill="FFFFFF"/>
        </w:rPr>
        <w:t>万元；粮油物资储备支出</w:t>
      </w:r>
      <w:r>
        <w:rPr>
          <w:rFonts w:hint="eastAsia" w:ascii="Times New Roman" w:hAnsi="Times New Roman" w:eastAsia="仿宋_GB2312" w:cs="Times New Roman"/>
          <w:sz w:val="32"/>
          <w:szCs w:val="32"/>
        </w:rPr>
        <w:t>180.00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1.78%</w:t>
      </w:r>
      <w:r>
        <w:rPr>
          <w:rFonts w:hint="eastAsia" w:ascii="仿宋_GB2312" w:hAnsi="仿宋_GB2312" w:eastAsia="仿宋_GB2312" w:cs="仿宋_GB2312"/>
          <w:color w:val="000000"/>
          <w:kern w:val="0"/>
          <w:sz w:val="32"/>
          <w:szCs w:val="32"/>
          <w:shd w:val="clear" w:color="auto" w:fill="FFFFFF"/>
        </w:rPr>
        <w:t>；国有资本经营预算支出</w:t>
      </w:r>
      <w:r>
        <w:rPr>
          <w:rFonts w:hint="eastAsia" w:ascii="Times New Roman" w:hAnsi="Times New Roman" w:eastAsia="仿宋_GB2312" w:cs="Times New Roman"/>
          <w:sz w:val="32"/>
          <w:szCs w:val="32"/>
        </w:rPr>
        <w:t>36.74</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0.37%</w:t>
      </w:r>
      <w:r>
        <w:rPr>
          <w:rFonts w:hint="eastAsia" w:ascii="仿宋_GB2312" w:hAnsi="仿宋_GB2312" w:eastAsia="仿宋_GB2312" w:cs="仿宋_GB2312"/>
          <w:color w:val="000000"/>
          <w:kern w:val="0"/>
          <w:sz w:val="32"/>
          <w:szCs w:val="32"/>
          <w:shd w:val="clear" w:color="auto" w:fill="FFFFFF"/>
        </w:rPr>
        <w:t>；灾害防治及应急管理支出</w:t>
      </w:r>
      <w:r>
        <w:rPr>
          <w:rFonts w:hint="eastAsia" w:ascii="Times New Roman" w:hAnsi="Times New Roman" w:eastAsia="仿宋_GB2312" w:cs="Times New Roman"/>
          <w:sz w:val="32"/>
          <w:szCs w:val="32"/>
        </w:rPr>
        <w:t>3.00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0.03%</w:t>
      </w:r>
      <w:r>
        <w:rPr>
          <w:rFonts w:hint="eastAsia" w:ascii="仿宋_GB2312" w:hAnsi="仿宋_GB2312" w:eastAsia="仿宋_GB2312" w:cs="仿宋_GB2312"/>
          <w:color w:val="000000"/>
          <w:kern w:val="0"/>
          <w:sz w:val="32"/>
          <w:szCs w:val="32"/>
          <w:shd w:val="clear" w:color="auto" w:fill="FFFFFF"/>
        </w:rPr>
        <w:t>；其他支出</w:t>
      </w:r>
      <w:r>
        <w:rPr>
          <w:rFonts w:hint="eastAsia" w:ascii="Times New Roman" w:hAnsi="Times New Roman" w:eastAsia="仿宋_GB2312" w:cs="Times New Roman"/>
          <w:sz w:val="32"/>
          <w:szCs w:val="32"/>
        </w:rPr>
        <w:t>4194.19</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41.31%</w:t>
      </w:r>
      <w:r>
        <w:rPr>
          <w:rFonts w:hint="eastAsia" w:ascii="仿宋_GB2312" w:hAnsi="仿宋_GB2312" w:eastAsia="仿宋_GB2312" w:cs="仿宋_GB2312"/>
          <w:color w:val="000000"/>
          <w:kern w:val="0"/>
          <w:sz w:val="32"/>
          <w:szCs w:val="32"/>
          <w:shd w:val="clear" w:color="auto" w:fill="FFFFFF"/>
        </w:rPr>
        <w:t>。</w:t>
      </w:r>
    </w:p>
    <w:p w14:paraId="577C0662">
      <w:pPr>
        <w:pStyle w:val="2"/>
        <w:numPr>
          <w:ilvl w:val="0"/>
          <w:numId w:val="2"/>
        </w:numPr>
        <w:spacing w:line="560" w:lineRule="exact"/>
        <w:ind w:firstLine="640" w:firstLineChars="200"/>
        <w:jc w:val="left"/>
        <w:rPr>
          <w:rFonts w:hint="eastAsia" w:ascii="仿宋_GB2312" w:hAnsi="方正仿宋简体" w:eastAsia="仿宋_GB2312" w:cs="方正仿宋简体"/>
          <w:b w:val="0"/>
          <w:bCs/>
          <w:caps w:val="0"/>
          <w:sz w:val="32"/>
          <w:szCs w:val="32"/>
        </w:rPr>
      </w:pPr>
      <w:r>
        <w:rPr>
          <w:rFonts w:hint="eastAsia" w:ascii="仿宋_GB2312" w:hAnsi="方正仿宋简体" w:eastAsia="仿宋_GB2312" w:cs="方正仿宋简体"/>
          <w:b w:val="0"/>
          <w:bCs/>
          <w:caps w:val="0"/>
          <w:sz w:val="32"/>
          <w:szCs w:val="32"/>
        </w:rPr>
        <w:t>专项资金管理情况分析</w:t>
      </w:r>
    </w:p>
    <w:p w14:paraId="4CA28ADA">
      <w:pPr>
        <w:pStyle w:val="6"/>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方正仿宋简体" w:eastAsia="仿宋_GB2312" w:cs="方正仿宋简体"/>
          <w:kern w:val="2"/>
          <w:sz w:val="32"/>
          <w:szCs w:val="32"/>
        </w:rPr>
        <w:t>专项资金实行“专人管理、专户储存、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严格专项资金初审、审核、审核制度，不准缺项和越程序办理手续，各类专项资金审批程序，以该专项资金审批表所列内容和文件要求为准。对专项资金要定期或不定期进行督查，确保项目资金专款专用，要全程参与项目验收和采购项目接交。</w:t>
      </w:r>
    </w:p>
    <w:p w14:paraId="222B4EB5">
      <w:pPr>
        <w:spacing w:line="6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 xml:space="preserve">三、单位专项组织实施情况 </w:t>
      </w:r>
    </w:p>
    <w:p w14:paraId="2DAAB476">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（一）专项组织情况分析</w:t>
      </w:r>
    </w:p>
    <w:p w14:paraId="522E91D2">
      <w:pPr>
        <w:widowControl/>
        <w:spacing w:line="560" w:lineRule="exact"/>
        <w:ind w:firstLine="640" w:firstLineChars="200"/>
        <w:contextualSpacing/>
        <w:jc w:val="left"/>
        <w:rPr>
          <w:rFonts w:ascii="仿宋_GB2312" w:hAnsi="仿宋" w:eastAsia="仿宋_GB2312" w:cs="仿宋"/>
          <w:color w:val="000000"/>
          <w:kern w:val="0"/>
          <w:sz w:val="32"/>
          <w:szCs w:val="32"/>
        </w:rPr>
      </w:pPr>
      <w:r>
        <w:rPr>
          <w:rFonts w:hint="eastAsia" w:ascii="仿宋_GB2312" w:hAnsi="方正仿宋简体" w:eastAsia="仿宋_GB2312" w:cs="方正仿宋简体"/>
          <w:color w:val="000000"/>
          <w:kern w:val="0"/>
          <w:sz w:val="32"/>
          <w:szCs w:val="32"/>
          <w:shd w:val="clear" w:color="auto" w:fill="FFFFFF"/>
        </w:rPr>
        <w:t>专项组织情况方面。</w:t>
      </w:r>
      <w:r>
        <w:rPr>
          <w:rFonts w:hint="eastAsia" w:ascii="仿宋_GB2312" w:hAnsi="方正仿宋简体" w:eastAsia="仿宋_GB2312" w:cs="方正仿宋简体"/>
          <w:color w:val="000000"/>
          <w:kern w:val="0"/>
          <w:sz w:val="32"/>
          <w:szCs w:val="32"/>
        </w:rPr>
        <w:t>我单位加强专项项目组织管理，严格落实财务管理制度。</w:t>
      </w:r>
      <w:r>
        <w:rPr>
          <w:rFonts w:hint="eastAsia" w:ascii="仿宋_GB2312" w:hAnsi="仿宋" w:eastAsia="仿宋_GB2312" w:cs="仿宋"/>
          <w:color w:val="000000"/>
          <w:kern w:val="0"/>
          <w:sz w:val="32"/>
          <w:szCs w:val="32"/>
        </w:rPr>
        <w:t xml:space="preserve"> </w:t>
      </w:r>
    </w:p>
    <w:p w14:paraId="59E23071">
      <w:pPr>
        <w:spacing w:line="560" w:lineRule="exact"/>
        <w:ind w:firstLine="640" w:firstLineChars="200"/>
        <w:jc w:val="left"/>
        <w:rPr>
          <w:rFonts w:ascii="楷体_GB2312" w:hAnsi="楷体_GB2312" w:eastAsia="楷体_GB2312" w:cs="楷体_GB2312"/>
          <w:b/>
          <w:bCs/>
          <w:sz w:val="32"/>
          <w:szCs w:val="32"/>
        </w:rPr>
      </w:pPr>
      <w:r>
        <w:rPr>
          <w:rFonts w:hint="eastAsia" w:ascii="楷体_GB2312" w:hAnsi="楷体_GB2312" w:eastAsia="楷体_GB2312" w:cs="楷体_GB2312"/>
          <w:sz w:val="32"/>
          <w:szCs w:val="32"/>
        </w:rPr>
        <w:t>（二）专项资金管理情况分析</w:t>
      </w:r>
    </w:p>
    <w:p w14:paraId="75FFEDF0">
      <w:pPr>
        <w:spacing w:line="560" w:lineRule="exact"/>
        <w:ind w:firstLine="640" w:firstLineChars="200"/>
        <w:rPr>
          <w:rFonts w:ascii="仿宋_GB2312" w:hAnsi="仿宋" w:eastAsia="仿宋_GB2312" w:cs="仿宋"/>
          <w:color w:val="000000"/>
          <w:kern w:val="0"/>
          <w:sz w:val="36"/>
          <w:szCs w:val="36"/>
        </w:rPr>
      </w:pPr>
      <w:r>
        <w:rPr>
          <w:rFonts w:hint="eastAsia" w:ascii="仿宋_GB2312" w:hAnsi="方正仿宋简体" w:eastAsia="仿宋_GB2312" w:cs="方正仿宋简体"/>
          <w:color w:val="000000"/>
          <w:kern w:val="0"/>
          <w:sz w:val="32"/>
          <w:szCs w:val="32"/>
          <w:shd w:val="clear" w:color="auto" w:fill="FFFFFF"/>
        </w:rPr>
        <w:t>专项管理情况方面。一</w:t>
      </w:r>
      <w:r>
        <w:rPr>
          <w:rFonts w:hint="eastAsia" w:ascii="仿宋_GB2312" w:hAnsi="方正仿宋简体" w:eastAsia="仿宋_GB2312" w:cs="方正仿宋简体"/>
          <w:color w:val="000000"/>
          <w:kern w:val="0"/>
          <w:sz w:val="32"/>
          <w:szCs w:val="32"/>
        </w:rPr>
        <w:t>是严格执行项目预、结算审核制度。二是严格按照既定的项目实施方案，及时完善项目管理制度，认真开展财务决算工作，充分发挥资金的使用效益。</w:t>
      </w:r>
      <w:r>
        <w:rPr>
          <w:rFonts w:hint="eastAsia" w:ascii="仿宋_GB2312" w:hAnsi="仿宋" w:eastAsia="仿宋_GB2312" w:cs="仿宋"/>
          <w:color w:val="000000"/>
          <w:kern w:val="0"/>
          <w:sz w:val="36"/>
          <w:szCs w:val="36"/>
        </w:rPr>
        <w:t xml:space="preserve"> </w:t>
      </w:r>
    </w:p>
    <w:p w14:paraId="647E7989">
      <w:pPr>
        <w:widowControl/>
        <w:spacing w:line="640" w:lineRule="exact"/>
        <w:ind w:firstLine="720" w:firstLineChars="200"/>
        <w:jc w:val="left"/>
        <w:rPr>
          <w:rFonts w:ascii="仿宋_GB2312" w:hAnsi="仿宋_GB2312" w:eastAsia="仿宋_GB2312" w:cs="仿宋_GB2312"/>
          <w:b/>
          <w:bCs/>
          <w:color w:val="000000"/>
          <w:kern w:val="0"/>
          <w:sz w:val="32"/>
          <w:szCs w:val="32"/>
        </w:rPr>
      </w:pPr>
      <w:r>
        <w:rPr>
          <w:rFonts w:hint="eastAsia" w:ascii="仿宋_GB2312" w:hAnsi="仿宋" w:eastAsia="仿宋_GB2312" w:cs="仿宋"/>
          <w:color w:val="000000"/>
          <w:kern w:val="0"/>
          <w:sz w:val="36"/>
          <w:szCs w:val="36"/>
        </w:rPr>
        <w:t xml:space="preserve"> </w:t>
      </w:r>
      <w:r>
        <w:rPr>
          <w:rFonts w:hint="eastAsia" w:ascii="黑体" w:hAnsi="黑体" w:eastAsia="黑体" w:cs="黑体"/>
          <w:color w:val="000000"/>
          <w:kern w:val="0"/>
          <w:sz w:val="32"/>
          <w:szCs w:val="32"/>
        </w:rPr>
        <w:t>四、存在的问题</w:t>
      </w:r>
      <w:r>
        <w:rPr>
          <w:rFonts w:hint="eastAsia" w:ascii="仿宋_GB2312" w:hAnsi="仿宋_GB2312" w:eastAsia="仿宋_GB2312" w:cs="仿宋_GB2312"/>
          <w:b/>
          <w:bCs/>
          <w:color w:val="000000"/>
          <w:kern w:val="0"/>
          <w:sz w:val="32"/>
          <w:szCs w:val="32"/>
        </w:rPr>
        <w:t xml:space="preserve"> </w:t>
      </w:r>
    </w:p>
    <w:p w14:paraId="5E1177BB">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财政收入规模单一，收入结构不合理，社会事业发展所需财政支出压力大，收支矛盾还比较突出，财政管理还不很规范，财经纪律还有待进一步加强。街道工作人员项目管理能力有限，专业水平较低，专业技术知识有待提高，管理经验不足。资金使用效益有待进一步提高，绩效目标设立不够明确、细化和量化，实际工作完成效益不高。上级主管部门指导作用发挥不够，各工作部门之间，缺乏有效沟通与配合，统一组织协调工作有待加强。</w:t>
      </w:r>
    </w:p>
    <w:p w14:paraId="4DD39AF1">
      <w:pPr>
        <w:widowControl/>
        <w:spacing w:line="640" w:lineRule="exact"/>
        <w:ind w:firstLine="640" w:firstLineChars="200"/>
        <w:jc w:val="left"/>
        <w:rPr>
          <w:rFonts w:ascii="仿宋_GB2312" w:hAnsi="仿宋_GB2312" w:eastAsia="仿宋_GB2312" w:cs="仿宋_GB2312"/>
          <w:b/>
          <w:bCs/>
          <w:color w:val="000000"/>
          <w:kern w:val="0"/>
          <w:sz w:val="32"/>
          <w:szCs w:val="32"/>
        </w:rPr>
      </w:pPr>
      <w:r>
        <w:rPr>
          <w:rFonts w:hint="eastAsia" w:ascii="黑体" w:hAnsi="黑体" w:eastAsia="黑体" w:cs="黑体"/>
          <w:color w:val="000000"/>
          <w:kern w:val="0"/>
          <w:sz w:val="32"/>
          <w:szCs w:val="32"/>
        </w:rPr>
        <w:t>五、改进措施及有关建议</w:t>
      </w:r>
    </w:p>
    <w:p w14:paraId="3D2E8FC3">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1、加强预算管理，确保收支按预算执行，加强专项资金清理整合。</w:t>
      </w:r>
    </w:p>
    <w:p w14:paraId="3DF1AF27">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2、充分发挥财政职能，支持地方经济发展。积极推行政务财务公开，不断改进服务方式,加强财政窗口建设。通过向上级争取资金，加大对农村公益事业投资力度，促进公益事业发展。</w:t>
      </w:r>
    </w:p>
    <w:p w14:paraId="115C59F6">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14:paraId="0CC96562">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加强财政监督，提高财政资金使用效益。规范单位财务管理和资金使用，规范会计核算，确保专款专用，主要对重点项目建设、社保、扶贫、涉农补贴资金等各类资金追踪管理与监管力度，规范了财政资金使用途径。</w:t>
      </w:r>
    </w:p>
    <w:p w14:paraId="68770586">
      <w:pPr>
        <w:widowControl/>
        <w:spacing w:line="560" w:lineRule="exact"/>
        <w:ind w:firstLine="640" w:firstLineChars="200"/>
        <w:jc w:val="left"/>
        <w:rPr>
          <w:rFonts w:ascii="仿宋" w:hAnsi="仿宋" w:eastAsia="仿宋" w:cs="仿宋"/>
          <w:color w:val="000000"/>
          <w:kern w:val="0"/>
          <w:sz w:val="36"/>
          <w:szCs w:val="36"/>
        </w:rPr>
      </w:pPr>
      <w:r>
        <w:rPr>
          <w:rFonts w:hint="eastAsia" w:ascii="仿宋_GB2312" w:hAnsi="仿宋_GB2312" w:eastAsia="仿宋_GB2312" w:cs="仿宋_GB2312"/>
          <w:color w:val="000000"/>
          <w:kern w:val="0"/>
          <w:sz w:val="32"/>
          <w:szCs w:val="32"/>
        </w:rPr>
        <w:t>5、提高自身素质，加强队伍建设。以法律法规、机关管理制度为准则，切实转变干部工作作风，加强政治业务学习，细化政务财务公开，建立健全各项内部管理制度。认真参与上级部门组织的业务培训，进一步规范会计基础工作，提高了财政管理水平。</w:t>
      </w:r>
      <w:r>
        <w:rPr>
          <w:rFonts w:hint="eastAsia" w:ascii="仿宋" w:hAnsi="仿宋" w:eastAsia="仿宋" w:cs="仿宋"/>
          <w:color w:val="000000"/>
          <w:kern w:val="0"/>
          <w:sz w:val="36"/>
          <w:szCs w:val="36"/>
        </w:rPr>
        <w:t xml:space="preserve">                   </w:t>
      </w:r>
    </w:p>
    <w:p w14:paraId="5532186F">
      <w:pPr>
        <w:pStyle w:val="2"/>
        <w:rPr>
          <w:rFonts w:eastAsia="仿宋_GB2312"/>
        </w:rPr>
      </w:pPr>
    </w:p>
    <w:p w14:paraId="29FAAFF6">
      <w:pPr>
        <w:rPr>
          <w:rFonts w:hint="eastAsia" w:eastAsia="仿宋_GB2312"/>
        </w:rPr>
      </w:pPr>
    </w:p>
    <w:p w14:paraId="41429F3B">
      <w:pPr>
        <w:pStyle w:val="2"/>
      </w:pPr>
    </w:p>
    <w:p w14:paraId="57C172C7">
      <w:pPr>
        <w:pStyle w:val="2"/>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p>
    <w:p w14:paraId="4EBBB37B">
      <w:pPr>
        <w:pStyle w:val="2"/>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沅江市琼湖街道办事处</w:t>
      </w:r>
    </w:p>
    <w:p w14:paraId="3F99F7AD">
      <w:pPr>
        <w:pStyle w:val="2"/>
        <w:jc w:val="center"/>
        <w:rPr>
          <w:rFonts w:ascii="黑体" w:hAnsi="黑体" w:eastAsia="黑体" w:cs="黑体"/>
          <w:sz w:val="32"/>
          <w:szCs w:val="32"/>
        </w:rPr>
      </w:pPr>
      <w:r>
        <w:rPr>
          <w:rFonts w:hint="eastAsia" w:ascii="仿宋_GB2312" w:hAnsi="仿宋_GB2312" w:eastAsia="仿宋_GB2312" w:cs="仿宋_GB2312"/>
          <w:b w:val="0"/>
          <w:bCs/>
          <w:sz w:val="32"/>
          <w:szCs w:val="32"/>
        </w:rPr>
        <w:t xml:space="preserve">                                2025年5月21日</w:t>
      </w:r>
    </w:p>
    <w:p w14:paraId="5FFBE934">
      <w:pPr>
        <w:spacing w:line="560" w:lineRule="exact"/>
        <w:ind w:firstLine="420" w:firstLineChars="200"/>
        <w:jc w:val="left"/>
        <w:rPr>
          <w:rFonts w:hint="eastAsia" w:ascii="仿宋_GB2312" w:hAnsi="方正仿宋简体" w:eastAsia="仿宋_GB2312" w:cs="方正仿宋简体"/>
        </w:rPr>
      </w:pPr>
    </w:p>
    <w:p w14:paraId="07E3AE88">
      <w:pPr>
        <w:ind w:left="420" w:leftChars="200"/>
      </w:pPr>
    </w:p>
    <w:p w14:paraId="52F306F5">
      <w:pPr>
        <w:pStyle w:val="2"/>
      </w:pPr>
    </w:p>
    <w:p w14:paraId="2840EAB4"/>
    <w:p w14:paraId="14916F31">
      <w:pPr>
        <w:pStyle w:val="2"/>
        <w:rPr>
          <w:rFonts w:ascii="仿宋_GB2312" w:hAnsi="仿宋_GB2312" w:eastAsia="仿宋_GB2312" w:cs="仿宋_GB2312"/>
          <w:b w:val="0"/>
          <w:bCs/>
          <w:sz w:val="32"/>
          <w:szCs w:val="32"/>
        </w:rPr>
      </w:pPr>
    </w:p>
    <w:p w14:paraId="3D6A3E4A">
      <w:pPr>
        <w:spacing w:line="560" w:lineRule="exact"/>
        <w:rPr>
          <w:rFonts w:hint="eastAsia" w:ascii="仿宋_GB2312" w:hAnsi="方正仿宋简体" w:eastAsia="仿宋_GB2312" w:cs="方正仿宋简体"/>
          <w:sz w:val="32"/>
          <w:szCs w:val="32"/>
        </w:rPr>
      </w:pPr>
    </w:p>
    <w:p w14:paraId="2860E643">
      <w:pPr>
        <w:pStyle w:val="2"/>
      </w:pPr>
    </w:p>
    <w:p w14:paraId="26CE0ADF">
      <w:pPr>
        <w:ind w:firstLine="640" w:firstLineChars="200"/>
        <w:rPr>
          <w:rFonts w:ascii="仿宋_GB2312" w:hAnsi="仿宋_GB2312" w:eastAsia="仿宋_GB2312" w:cs="仿宋_GB2312"/>
          <w:sz w:val="32"/>
          <w:szCs w:val="32"/>
        </w:rPr>
      </w:pPr>
    </w:p>
    <w:p w14:paraId="5DE9413C">
      <w:pPr>
        <w:pStyle w:val="2"/>
      </w:pPr>
    </w:p>
    <w:p w14:paraId="3C90346B"/>
    <w:p w14:paraId="441E11B2">
      <w:pPr>
        <w:pStyle w:val="2"/>
      </w:pPr>
    </w:p>
    <w:p w14:paraId="6DCB00DF"/>
    <w:p w14:paraId="5468E5DF">
      <w:pPr>
        <w:pStyle w:val="2"/>
      </w:pPr>
    </w:p>
    <w:p w14:paraId="5CAEBBF6"/>
    <w:p w14:paraId="1990CF28">
      <w:pPr>
        <w:pStyle w:val="2"/>
      </w:pPr>
    </w:p>
    <w:p w14:paraId="26EBEA05"/>
    <w:p w14:paraId="3E9A741B">
      <w:pPr>
        <w:ind w:firstLine="640" w:firstLineChars="200"/>
        <w:jc w:val="left"/>
        <w:rPr>
          <w:rFonts w:ascii="仿宋_GB2312" w:hAnsi="仿宋_GB2312" w:eastAsia="仿宋_GB2312" w:cs="仿宋_GB2312"/>
          <w:sz w:val="32"/>
          <w:szCs w:val="32"/>
        </w:rPr>
      </w:pPr>
    </w:p>
    <w:p w14:paraId="461A42D6">
      <w:pPr>
        <w:ind w:firstLine="0"/>
        <w:rPr>
          <w:rFonts w:ascii="仿宋_GB2312" w:hAnsi="楷体" w:eastAsia="仿宋_GB2312"/>
          <w:sz w:val="32"/>
          <w:szCs w:val="32"/>
        </w:rPr>
      </w:pP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altName w:val="微软雅黑"/>
    <w:panose1 w:val="00000000000000000000"/>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roman"/>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75A34"/>
    <w:multiLevelType w:val="singleLevel"/>
    <w:tmpl w:val="F5775A34"/>
    <w:lvl w:ilvl="0" w:tentative="0">
      <w:start w:val="1"/>
      <w:numFmt w:val="decimal"/>
      <w:suff w:val="nothing"/>
      <w:lvlText w:val="%1、"/>
      <w:lvlJc w:val="left"/>
    </w:lvl>
  </w:abstractNum>
  <w:abstractNum w:abstractNumId="1">
    <w:nsid w:val="4F715E8A"/>
    <w:multiLevelType w:val="multilevel"/>
    <w:tmpl w:val="4F715E8A"/>
    <w:lvl w:ilvl="0" w:tentative="0">
      <w:start w:val="6"/>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3ZjQxNzM1ZDBiZWI2YWUwZGYwZmJmZjU3ZDA5MjQifQ=="/>
  </w:docVars>
  <w:rsids>
    <w:rsidRoot w:val="004667D5"/>
    <w:rsid w:val="000A135F"/>
    <w:rsid w:val="000E3370"/>
    <w:rsid w:val="001A0474"/>
    <w:rsid w:val="00341D7B"/>
    <w:rsid w:val="004360CD"/>
    <w:rsid w:val="004667D5"/>
    <w:rsid w:val="0048773F"/>
    <w:rsid w:val="00491A9F"/>
    <w:rsid w:val="005B6E1D"/>
    <w:rsid w:val="006250A0"/>
    <w:rsid w:val="00625ABC"/>
    <w:rsid w:val="00656484"/>
    <w:rsid w:val="006A2388"/>
    <w:rsid w:val="007B18F3"/>
    <w:rsid w:val="007D4205"/>
    <w:rsid w:val="008160C0"/>
    <w:rsid w:val="009D1856"/>
    <w:rsid w:val="00BA47B8"/>
    <w:rsid w:val="00C016B3"/>
    <w:rsid w:val="00C65670"/>
    <w:rsid w:val="00D80036"/>
    <w:rsid w:val="00D83C83"/>
    <w:rsid w:val="00DA267A"/>
    <w:rsid w:val="00DB09EE"/>
    <w:rsid w:val="00E03C67"/>
    <w:rsid w:val="00E77C3E"/>
    <w:rsid w:val="00EA5803"/>
    <w:rsid w:val="00EC45AF"/>
    <w:rsid w:val="00F00F0A"/>
    <w:rsid w:val="00F134FD"/>
    <w:rsid w:val="00F773ED"/>
    <w:rsid w:val="00F811B3"/>
    <w:rsid w:val="00FD25C1"/>
    <w:rsid w:val="05AD08E7"/>
    <w:rsid w:val="08C261F3"/>
    <w:rsid w:val="11633AB1"/>
    <w:rsid w:val="16C62984"/>
    <w:rsid w:val="1C39456B"/>
    <w:rsid w:val="2275506B"/>
    <w:rsid w:val="2CDD682C"/>
    <w:rsid w:val="3B315604"/>
    <w:rsid w:val="3C8E7C51"/>
    <w:rsid w:val="40544A0D"/>
    <w:rsid w:val="43B4739A"/>
    <w:rsid w:val="479824F0"/>
    <w:rsid w:val="4D250A09"/>
    <w:rsid w:val="4E6820EC"/>
    <w:rsid w:val="4FC53718"/>
    <w:rsid w:val="55115153"/>
    <w:rsid w:val="57DB5121"/>
    <w:rsid w:val="669843C4"/>
    <w:rsid w:val="6C5A43B9"/>
    <w:rsid w:val="70D54E3A"/>
    <w:rsid w:val="71481760"/>
    <w:rsid w:val="750E3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line="340" w:lineRule="exact"/>
    </w:pPr>
    <w:rPr>
      <w:rFonts w:ascii="华文中宋" w:hAnsi="华文中宋" w:eastAsia="华文中宋"/>
      <w:b/>
      <w:caps/>
      <w:sz w:val="24"/>
    </w:rPr>
  </w:style>
  <w:style w:type="paragraph" w:styleId="3">
    <w:name w:val="Date"/>
    <w:basedOn w:val="1"/>
    <w:next w:val="1"/>
    <w:link w:val="9"/>
    <w:autoRedefine/>
    <w:semiHidden/>
    <w:unhideWhenUsed/>
    <w:qFormat/>
    <w:uiPriority w:val="99"/>
    <w:pPr>
      <w:ind w:left="100" w:leftChars="25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日期 Char"/>
    <w:basedOn w:val="8"/>
    <w:link w:val="3"/>
    <w:semiHidden/>
    <w:qFormat/>
    <w:uiPriority w:val="99"/>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4333</Words>
  <Characters>4776</Characters>
  <Lines>41</Lines>
  <Paragraphs>11</Paragraphs>
  <TotalTime>250</TotalTime>
  <ScaleCrop>false</ScaleCrop>
  <LinksUpToDate>false</LinksUpToDate>
  <CharactersWithSpaces>4900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2025-05-19T02:53:00Z</dcterms:created>
  <dc:creator>Administrator</dc:creator>
  <cp:lastModifiedBy>G</cp:lastModifiedBy>
  <cp:lastPrinted>2024-01-11T02:29:00Z</cp:lastPrinted>
  <dcterms:modified xsi:type="dcterms:W3CDTF">2025-10-10T00:57:53Z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3751AB2FEA0C4EFD882AB9719D1DCCB0_13</vt:lpwstr>
  </property>
  <property fmtid="{D5CDD505-2E9C-101B-9397-08002B2CF9AE}" pid="4" name="KSOTemplateDocerSaveRecord">
    <vt:lpwstr>eyJoZGlkIjoiNzg3ZjQxNzM1ZDBiZWI2YWUwZGYwZmJmZjU3ZDA5MjQiLCJ1c2VySWQiOiIxNTU1MDI4OTA5In0=</vt:lpwstr>
  </property>
</Properties>
</file>