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ind w:firstLine="481" w:firstLineChars="100"/>
        <w:rPr>
          <w:rFonts w:ascii="仿宋" w:hAnsi="仿宋" w:eastAsia="仿宋" w:cs="宋体"/>
          <w:b/>
          <w:bCs/>
          <w:sz w:val="48"/>
          <w:szCs w:val="48"/>
        </w:rPr>
      </w:pPr>
      <w:bookmarkStart w:id="0" w:name="YS060101"/>
      <w:r>
        <w:rPr>
          <w:rFonts w:hint="eastAsia" w:ascii="仿宋" w:hAnsi="仿宋" w:eastAsia="仿宋" w:cs="宋体"/>
          <w:b/>
          <w:bCs/>
          <w:sz w:val="48"/>
          <w:szCs w:val="48"/>
        </w:rPr>
        <w:t>2022年度城管大队决算公开报告</w:t>
      </w:r>
    </w:p>
    <w:p>
      <w:pPr>
        <w:snapToGrid w:val="0"/>
        <w:spacing w:line="520" w:lineRule="exact"/>
        <w:ind w:firstLine="640" w:firstLineChars="200"/>
        <w:jc w:val="center"/>
        <w:rPr>
          <w:rFonts w:ascii="仿宋" w:hAnsi="仿宋" w:eastAsia="仿宋" w:cs="宋体"/>
          <w:sz w:val="32"/>
          <w:szCs w:val="32"/>
        </w:rPr>
      </w:pP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一、单位情况</w:t>
      </w:r>
    </w:p>
    <w:bookmarkEnd w:id="0"/>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（一）基本情况。</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一、</w:t>
      </w:r>
      <w:r>
        <w:rPr>
          <w:rFonts w:hint="eastAsia" w:ascii="仿宋" w:hAnsi="仿宋" w:eastAsia="仿宋" w:cs="宋体"/>
          <w:sz w:val="32"/>
          <w:szCs w:val="32"/>
        </w:rPr>
        <w:tab/>
      </w:r>
      <w:r>
        <w:rPr>
          <w:rFonts w:hint="eastAsia" w:ascii="仿宋" w:hAnsi="仿宋" w:eastAsia="仿宋" w:cs="宋体"/>
          <w:sz w:val="32"/>
          <w:szCs w:val="32"/>
        </w:rPr>
        <w:t>部门职责</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（一）负责市区市容市貌的监管﹙流动摊贩、出店经营、马路市场、乱搭乱建等﹚;</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（二）负责市区户外广告、夜市漫酒的监管；</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（三）负责市区城市“牛皮癣”的监管、清理和整治;</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（四）负责全市燃气、液化气的安全监管和整治;</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（五）负责经营性餐饮业油烟污染的监管和整治。</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二、机构设置及决算单位构成</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（一）内设机构设置。</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沅江市城市建设管理监察大队系城市管理和综合执法局下属副科级参公事业单位，内设股室11个：办公室、财务室、监察一、二、三、四、五中队、燃气管理办、油烟管理办、广告机动中队、处罚中心。</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3．人员情况</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大队现有干职工81人，其中在职人员74人，退休人员7人。另有协管员35人。</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（二）当年取得的主要事业成效。</w:t>
      </w:r>
    </w:p>
    <w:p>
      <w:pPr>
        <w:snapToGrid w:val="0"/>
        <w:spacing w:line="520" w:lineRule="exact"/>
        <w:ind w:firstLine="640" w:firstLineChars="200"/>
        <w:rPr>
          <w:rFonts w:ascii="仿宋" w:hAnsi="仿宋" w:eastAsia="仿宋" w:cs="宋体"/>
          <w:sz w:val="32"/>
          <w:szCs w:val="32"/>
        </w:rPr>
      </w:pPr>
      <w:bookmarkStart w:id="1" w:name="YS060102"/>
      <w:r>
        <w:rPr>
          <w:rFonts w:hint="eastAsia" w:ascii="仿宋" w:hAnsi="仿宋" w:eastAsia="仿宋" w:cs="宋体"/>
          <w:sz w:val="32"/>
          <w:szCs w:val="32"/>
        </w:rPr>
        <w:t xml:space="preserve">  2022年，在市委、市政府和上级主管局的正确领导下，大队上下团结一心，顽强拼搏，树立城市管理执法队伍良好形象，继续深化开展“强基础、转作风、树形象”专项行动，圆满完成了上级交办的各项工作任务，取得了辉煌的成绩，现将大队2022年工作总结如下：</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一、关于加强党的建设方面</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（一）众志成城，防控疫情。 </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新冠疫情期间，大队充分发挥党组织的战斗堡垒作用，全力战“疫”，安排人员对疫情防控点进行值守，要求各中队全力配合开展疫情防治入户摸排等工作；组建党员干部，下沉到市区各疫情防控点开展志愿服务，构筑坚实的疫情防线。</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（二）开展志愿服务。我大队通过集中学习、自主学习、党课教育、专题学习会等形式，深入学习贯彻习近平新时代中国特色社会主义思想。同时结合“不忘初心</w:t>
      </w:r>
      <w:r>
        <w:rPr>
          <w:rFonts w:hint="eastAsia" w:ascii="仿宋" w:hAnsi="仿宋" w:eastAsia="仿宋" w:cs="宋体"/>
          <w:sz w:val="32"/>
          <w:szCs w:val="32"/>
          <w:lang w:eastAsia="zh-CN"/>
        </w:rPr>
        <w:t>、</w:t>
      </w:r>
      <w:r>
        <w:rPr>
          <w:rFonts w:hint="eastAsia" w:ascii="仿宋" w:hAnsi="仿宋" w:eastAsia="仿宋" w:cs="宋体"/>
          <w:sz w:val="32"/>
          <w:szCs w:val="32"/>
        </w:rPr>
        <w:t>牢记使命”主题教育，深入开展志愿服务活动。</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三）抓廉政教育。制定廉政风险防控工作实施方案，签订廉政风险识别和防控表，把推进廉政风险防控管理作为一项政治任务列入重要议事日程，教育大队干部职工要深刻吸取教训，以典型案例为鉴，绷紧防腐拒变的弦。</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二、关于强化队伍能力建设方面</w:t>
      </w:r>
      <w:bookmarkStart w:id="5" w:name="_GoBack"/>
      <w:bookmarkEnd w:id="5"/>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提高队伍整体素质和综合执法能力。一是开展标准军事化训练、执法技能学习培训等举措，不断提高队伍整体素质，提升执法队伍业务水平和应急处置能力。二是建立健全我大队应急处置体系，保证上情下达、下情上报渠道通畅，确保上级领导及主管部门的指示、指令的落实和群众投诉的及时受理。</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强化法制观念，规范执法行为。一是逐步建立健全各项制度，进一步规范行政执法程序。二是将普法学习纳入大队全年政治教育计划，开展法律培训活动，通过各项法律法规和考试，提高了执法人员依法行政意识，增强了执法人员的法治观念、法律素养，为日常执法工作提供保障。三是积极开展执法人员业务培训工作，建立执法人员年度常态化培训制度。</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三、关于加强法制建设方面</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规范执法制度。进一步加强制度建设，明确职责，规范执法程序。同时，全面推行行政执法公示制度、执法全过程记录制度、重大行政执法决定法制审核制度改革，全面加强行政执法信息化建设，深入开展“强基础、转作风、树形象”行动，加强城管执法队伍建设，加大对违法案件的查处力度，不断提高执法水平。</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（二）提高案卷制作水平。大队利用下雨天集中进行案</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卷审核，并针对发现案卷存在的问题，当场对经办人员进行培训，补缺补漏，并整改到位，促使得达到执法人员对案卷的制作有了更加深刻的认识，提高了大队执法人员的案卷制作水平。</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（三）落实执法过程全记录制度。试行执法过程全记录</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执法工作，并按要求为各中队配备执法记录仪。</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四）推行“律师驻队”制度。一是大队律师对一线人员定期组织开展法律知识培训，结合典型案例精选分析，同时为一线执法如何规避法律风险提出建议。二是针对重大案件大队邀请律师参与对案件的审核把关，将法律风险降到最低。 </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四、关于加强作风纪律建设方面</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狠抓队伍作风建设，提升执法水平和执法形象，杜绝不作为、乱作为现象。大队制定并完善了各项规章制度，落实督查问责机制，对于不合符城市管理执法人员条件、不合适继续留在一线执法的人员，我大队根据实际情况调至后勤岗位或予以辞退。同时我大队以廉政教育大会、集体廉政谈话提醒、个人廉政谈话提醒等方式，做到拒腐防变警钟长鸣、反腐倡廉常抓不懈。</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五、关于城市管理中心工作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（一）强化市容管控。我大队深入贯彻“城市管理应该</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像绣花一样精细”的指示精神，下足功夫扮靓城市环境。积极推行“严管街”试点工作，抽调骨干力量组建专职执法队伍，班子人员下中队，对全市严管道路开展集中整治，以点带面提升全市市容市貌；全力开展非机动车乱停放专项整治，有力改善城区交通状况；加强各类违规广告整治，全年共纠正违章56800余次。通过加强管理，市容秩序得到进一步提高，城市面貌焕然一新。</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严查严控乱搭乱建。秉持“零容忍”刚性约束，加大违法建筑拆除力度，并组建专职拆违队伍，深入各社区实地了解情况，因地制宜制定拆违计划，对违章搭建者上门做好工作，发放整改通知。全年共拆除违章建筑5100平方米。</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（三）规范夜市漫酒管理</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大队今年对全市的夜市漫酒进行登记造册，临时规划出</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些疏导区，对夜市漫酒依据大队定时间、定地点、定卫生标准来统一管理。对难点、重点区域派专人予以值守，全年共开展夜间整治行动63次，取缔违章占道漫酒摊点268处，引导510余处漫酒摊点进规范区经营，目前全市夜市漫酒管理有序、可控。</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（四）城市“牛皮癣”管理工作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2022年组织人员对市区主要路段的城市“牛皮癣”开展</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了48次大清理，全年共清理“城市牛皮癣”81000余处，处理违章案件230余件。通过管理，“城市牛皮癣”得到了有效管控。</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（五）餐饮油烟排放管理工作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2022年，油烟办对市区主要路段的酒店宾馆和饭店进行</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摸底排查、登记造册。对不符合排放标准的管理对象开出整改通知260余份，要求安装净化设备。对所有投诉，都上门开出整改通知，接投诉电话共计150余起，都基本处理到位，处理率达98%，净化器都已安装。全市酒店宾馆净化设备安装率达90%左右。同时对城区各学校食堂进行了检查，净化设备安装率达90%左右。对全市的露天烧烤开展了集中整治，全市共有90余家烧烤摊位，全部按要求安装无烟灶，统一整改到位。</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（六）燃气管理工作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年初，制度了《燃气管理工作方案》，成立了燃气安全</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生产管理领导小组、与全市燃气企业签订了安全生产责任状、组织全市燃气企业负责人召开了年度工作总结会议。进一步建立健全了燃气管理各项规章制度。坚持做到每日组织执法人员对市区销售网点进行一次巡查；每周对城郊燃气企业进行一次安全巡查；每月和重大节假日对全市的燃气企业、各乡镇销售网点进行一次安全隐患大排查，利用宣传车加强了燃气安全宣传。建立了燃气安全网上监控平台，制定了燃气预算编制工作，全年依法查处违反安全隐患20余起。送达整改通知书30余份。坚持依法管理、勤于管理，我市没有发生一起重大燃气安全事故。</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（七）乡村振兴工作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为落实市委、市政府的扶贫攻坚任务，大队高度重视，</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成立了乡村振兴工作领导小组，安排副大队长李益文同志赴安化开展乡村振兴工作，对贫困户的情况进行了细致的了解与分析，解难题办实事，精准助推脱贫攻坚工作，巩固脱贫成果。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（八）工会工作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2022年，大队工会组织到郴州汝城开展“半条被子”红色教育，组织干职工到万青生态农庄开展春游、秋游活动，参观学习，积极参加市里组织的气排球比赛，增强了大队凝聚力和战斗力。</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（九）宣传工作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今年加大了对外宣传的力度，市电视台对我大队进行报</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道7次，手机报上报信息11次，在市主流媒体发布文章8篇，益阳市媒体上发表文章1篇。通过加强新闻的报道，社会各界对城管大队工作的支持理解越来越高。</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（十）迎检工作</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今年迎接上级各类检查80余次，没有出现一次失误，参加市里组织的违章建筑物的拆除、各类联合执法50余次，每次都顺利完成任务。大队组织的民兵应急分队参加防汛、防冰雪天气和各类突击任务，受到了各级领导的嘉许。各级领导高度肯定了我们城管大队的工作。多次受到市委市政府的充分肯定与表扬。在人民群众中的形象得到进一步的提高。   </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（十一）执法装备、办公设施得到全面改善。</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为提高城市管理效率，大队今年在工作经费极度紧缺的情况下，对办公楼进行了搬迁，对原农机局旧办公楼进行了改造，新建了机关食堂，添置了新电脑7台、空调16台，办公桌椅等办公设备，为大队全体执法人员添置了新制服，配备了执法记录仪。今年，大队执法装备、办公设施得到了更好的完善。</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二、收入支出预算执行情况分析</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（一）收入支出预算安排情况。</w:t>
      </w:r>
    </w:p>
    <w:p>
      <w:pPr>
        <w:widowControl/>
        <w:kinsoku w:val="0"/>
        <w:autoSpaceDE w:val="0"/>
        <w:autoSpaceDN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年初部门预算情况：预算内一般公共预算拨款1101.36万元，政府性基金预算财政拨款收入9.72万元，其他收入82.72万元，共计1193.8万元。</w:t>
      </w:r>
    </w:p>
    <w:p>
      <w:pPr>
        <w:widowControl/>
        <w:kinsoku w:val="0"/>
        <w:autoSpaceDE w:val="0"/>
        <w:autoSpaceDN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年终决算情况：预算内一般公共预算拨款942.241万元，政府性基金预算财政拨款收入9.72万元，其他收入82.72万元，共计1193.8万元。</w:t>
      </w:r>
    </w:p>
    <w:p>
      <w:pPr>
        <w:widowControl/>
        <w:kinsoku w:val="0"/>
        <w:autoSpaceDE w:val="0"/>
        <w:autoSpaceDN w:val="0"/>
        <w:spacing w:line="560" w:lineRule="exact"/>
        <w:ind w:firstLine="642" w:firstLineChars="200"/>
        <w:jc w:val="left"/>
        <w:rPr>
          <w:rFonts w:ascii="仿宋" w:hAnsi="仿宋" w:eastAsia="仿宋" w:cs="宋体"/>
          <w:b/>
          <w:sz w:val="32"/>
          <w:szCs w:val="32"/>
        </w:rPr>
      </w:pPr>
      <w:r>
        <w:rPr>
          <w:rFonts w:hint="eastAsia" w:ascii="仿宋" w:hAnsi="仿宋" w:eastAsia="仿宋" w:cs="宋体"/>
          <w:b/>
          <w:sz w:val="32"/>
          <w:szCs w:val="32"/>
        </w:rPr>
        <w:t>（二）收入支出预算执行情况。</w:t>
      </w:r>
    </w:p>
    <w:p>
      <w:pPr>
        <w:kinsoku w:val="0"/>
        <w:autoSpaceDE w:val="0"/>
        <w:autoSpaceDN w:val="0"/>
        <w:snapToGrid w:val="0"/>
        <w:spacing w:line="520" w:lineRule="exact"/>
        <w:ind w:firstLine="960" w:firstLineChars="300"/>
        <w:rPr>
          <w:rFonts w:ascii="仿宋" w:hAnsi="仿宋" w:eastAsia="仿宋" w:cs="宋体"/>
          <w:bCs/>
          <w:sz w:val="32"/>
          <w:szCs w:val="32"/>
        </w:rPr>
      </w:pPr>
      <w:r>
        <w:rPr>
          <w:rFonts w:hint="eastAsia" w:ascii="仿宋" w:hAnsi="仿宋" w:eastAsia="仿宋" w:cs="宋体"/>
          <w:bCs/>
          <w:sz w:val="32"/>
          <w:szCs w:val="32"/>
        </w:rPr>
        <w:t>2022年预算执行情况：资金</w:t>
      </w:r>
      <w:r>
        <w:rPr>
          <w:rFonts w:hint="eastAsia" w:ascii="仿宋" w:hAnsi="仿宋" w:eastAsia="仿宋" w:cs="宋体"/>
          <w:bCs/>
          <w:kern w:val="0"/>
          <w:sz w:val="32"/>
          <w:szCs w:val="32"/>
        </w:rPr>
        <w:t>主要用于城区拆违拆迁、燃气整治、“牛皮癣”整治等发生的各项支出，包含工资福利支出893.757万元、商品和服务支出116.73万元，项目支出183.317万元。</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1．收入支出与预算对比分析。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（1）预、决算差异</w:t>
      </w:r>
    </w:p>
    <w:tbl>
      <w:tblPr>
        <w:tblStyle w:val="5"/>
        <w:tblW w:w="0" w:type="auto"/>
        <w:tblInd w:w="93" w:type="dxa"/>
        <w:tblLayout w:type="fixed"/>
        <w:tblCellMar>
          <w:top w:w="0" w:type="dxa"/>
          <w:left w:w="108" w:type="dxa"/>
          <w:bottom w:w="0" w:type="dxa"/>
          <w:right w:w="108" w:type="dxa"/>
        </w:tblCellMar>
      </w:tblPr>
      <w:tblGrid>
        <w:gridCol w:w="780"/>
        <w:gridCol w:w="580"/>
        <w:gridCol w:w="1960"/>
        <w:gridCol w:w="960"/>
        <w:gridCol w:w="2080"/>
        <w:gridCol w:w="640"/>
        <w:gridCol w:w="1180"/>
        <w:gridCol w:w="1040"/>
      </w:tblGrid>
      <w:tr>
        <w:tblPrEx>
          <w:tblCellMar>
            <w:top w:w="0" w:type="dxa"/>
            <w:left w:w="108" w:type="dxa"/>
            <w:bottom w:w="0" w:type="dxa"/>
            <w:right w:w="108" w:type="dxa"/>
          </w:tblCellMar>
        </w:tblPrEx>
        <w:trPr>
          <w:trHeight w:val="540" w:hRule="atLeast"/>
        </w:trPr>
        <w:tc>
          <w:tcPr>
            <w:tcW w:w="9220" w:type="dxa"/>
            <w:gridSpan w:val="8"/>
            <w:tcBorders>
              <w:top w:val="nil"/>
              <w:left w:val="nil"/>
              <w:bottom w:val="nil"/>
              <w:right w:val="nil"/>
            </w:tcBorders>
            <w:vAlign w:val="bottom"/>
          </w:tcPr>
          <w:p>
            <w:pPr>
              <w:widowControl/>
              <w:kinsoku w:val="0"/>
              <w:autoSpaceDE w:val="0"/>
              <w:autoSpaceDN w:val="0"/>
              <w:rPr>
                <w:rFonts w:ascii="仿宋" w:hAnsi="仿宋" w:eastAsia="仿宋" w:cs="宋体"/>
                <w:bCs/>
                <w:color w:val="000000"/>
                <w:kern w:val="0"/>
                <w:sz w:val="32"/>
                <w:szCs w:val="32"/>
              </w:rPr>
            </w:pPr>
          </w:p>
        </w:tc>
      </w:tr>
      <w:tr>
        <w:tblPrEx>
          <w:tblCellMar>
            <w:top w:w="0" w:type="dxa"/>
            <w:left w:w="108" w:type="dxa"/>
            <w:bottom w:w="0" w:type="dxa"/>
            <w:right w:w="108" w:type="dxa"/>
          </w:tblCellMar>
        </w:tblPrEx>
        <w:trPr>
          <w:trHeight w:val="255" w:hRule="atLeast"/>
        </w:trPr>
        <w:tc>
          <w:tcPr>
            <w:tcW w:w="4280" w:type="dxa"/>
            <w:gridSpan w:val="4"/>
            <w:tcBorders>
              <w:top w:val="nil"/>
              <w:left w:val="nil"/>
              <w:bottom w:val="nil"/>
              <w:right w:val="nil"/>
            </w:tcBorders>
            <w:vAlign w:val="bottom"/>
          </w:tcPr>
          <w:p>
            <w:pPr>
              <w:widowControl/>
              <w:kinsoku w:val="0"/>
              <w:autoSpaceDE w:val="0"/>
              <w:autoSpaceDN w:val="0"/>
              <w:jc w:val="left"/>
              <w:rPr>
                <w:rFonts w:ascii="仿宋" w:hAnsi="仿宋" w:eastAsia="仿宋" w:cs="宋体"/>
                <w:bCs/>
                <w:color w:val="000000"/>
                <w:kern w:val="0"/>
                <w:sz w:val="32"/>
                <w:szCs w:val="32"/>
              </w:rPr>
            </w:pPr>
          </w:p>
        </w:tc>
        <w:tc>
          <w:tcPr>
            <w:tcW w:w="2080" w:type="dxa"/>
            <w:tcBorders>
              <w:top w:val="nil"/>
              <w:left w:val="nil"/>
              <w:bottom w:val="nil"/>
              <w:right w:val="nil"/>
            </w:tcBorders>
            <w:vAlign w:val="bottom"/>
          </w:tcPr>
          <w:p>
            <w:pPr>
              <w:widowControl/>
              <w:kinsoku w:val="0"/>
              <w:autoSpaceDE w:val="0"/>
              <w:autoSpaceDN w:val="0"/>
              <w:jc w:val="left"/>
              <w:rPr>
                <w:rFonts w:ascii="仿宋" w:hAnsi="仿宋" w:eastAsia="仿宋" w:cs="宋体"/>
                <w:bCs/>
                <w:color w:val="000000"/>
                <w:kern w:val="0"/>
                <w:sz w:val="32"/>
                <w:szCs w:val="32"/>
              </w:rPr>
            </w:pPr>
          </w:p>
        </w:tc>
        <w:tc>
          <w:tcPr>
            <w:tcW w:w="640" w:type="dxa"/>
            <w:tcBorders>
              <w:top w:val="nil"/>
              <w:left w:val="nil"/>
              <w:bottom w:val="nil"/>
              <w:right w:val="nil"/>
            </w:tcBorders>
            <w:vAlign w:val="bottom"/>
          </w:tcPr>
          <w:p>
            <w:pPr>
              <w:widowControl/>
              <w:kinsoku w:val="0"/>
              <w:autoSpaceDE w:val="0"/>
              <w:autoSpaceDN w:val="0"/>
              <w:jc w:val="left"/>
              <w:rPr>
                <w:rFonts w:ascii="仿宋" w:hAnsi="仿宋" w:eastAsia="仿宋" w:cs="宋体"/>
                <w:bCs/>
                <w:color w:val="000000"/>
                <w:kern w:val="0"/>
                <w:sz w:val="32"/>
                <w:szCs w:val="32"/>
              </w:rPr>
            </w:pPr>
          </w:p>
        </w:tc>
        <w:tc>
          <w:tcPr>
            <w:tcW w:w="1180" w:type="dxa"/>
            <w:tcBorders>
              <w:top w:val="nil"/>
              <w:left w:val="nil"/>
              <w:bottom w:val="nil"/>
              <w:right w:val="nil"/>
            </w:tcBorders>
            <w:vAlign w:val="bottom"/>
          </w:tcPr>
          <w:p>
            <w:pPr>
              <w:widowControl/>
              <w:kinsoku w:val="0"/>
              <w:autoSpaceDE w:val="0"/>
              <w:autoSpaceDN w:val="0"/>
              <w:jc w:val="left"/>
              <w:rPr>
                <w:rFonts w:ascii="仿宋" w:hAnsi="仿宋" w:eastAsia="仿宋" w:cs="宋体"/>
                <w:bCs/>
                <w:color w:val="000000"/>
                <w:kern w:val="0"/>
                <w:sz w:val="32"/>
                <w:szCs w:val="32"/>
              </w:rPr>
            </w:pPr>
          </w:p>
        </w:tc>
        <w:tc>
          <w:tcPr>
            <w:tcW w:w="1040" w:type="dxa"/>
            <w:tcBorders>
              <w:top w:val="nil"/>
              <w:left w:val="nil"/>
              <w:bottom w:val="nil"/>
              <w:right w:val="nil"/>
            </w:tcBorders>
            <w:vAlign w:val="bottom"/>
          </w:tcPr>
          <w:p>
            <w:pPr>
              <w:widowControl/>
              <w:kinsoku w:val="0"/>
              <w:autoSpaceDE w:val="0"/>
              <w:autoSpaceDN w:val="0"/>
              <w:jc w:val="left"/>
              <w:rPr>
                <w:rFonts w:ascii="仿宋" w:hAnsi="仿宋" w:eastAsia="仿宋" w:cs="宋体"/>
                <w:bCs/>
                <w:color w:val="000000"/>
                <w:kern w:val="0"/>
                <w:sz w:val="32"/>
                <w:szCs w:val="32"/>
              </w:rPr>
            </w:pPr>
          </w:p>
        </w:tc>
      </w:tr>
      <w:tr>
        <w:tblPrEx>
          <w:tblCellMar>
            <w:top w:w="0" w:type="dxa"/>
            <w:left w:w="108" w:type="dxa"/>
            <w:bottom w:w="0" w:type="dxa"/>
            <w:right w:w="108" w:type="dxa"/>
          </w:tblCellMar>
        </w:tblPrEx>
        <w:trPr>
          <w:trHeight w:val="447" w:hRule="atLeast"/>
        </w:trPr>
        <w:tc>
          <w:tcPr>
            <w:tcW w:w="7000" w:type="dxa"/>
            <w:gridSpan w:val="6"/>
            <w:tcBorders>
              <w:top w:val="single" w:color="000000" w:sz="8" w:space="0"/>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评价指标</w:t>
            </w:r>
          </w:p>
        </w:tc>
        <w:tc>
          <w:tcPr>
            <w:tcW w:w="1180" w:type="dxa"/>
            <w:vMerge w:val="restart"/>
            <w:tcBorders>
              <w:top w:val="single" w:color="000000" w:sz="8" w:space="0"/>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计算值</w:t>
            </w:r>
          </w:p>
        </w:tc>
        <w:tc>
          <w:tcPr>
            <w:tcW w:w="1040" w:type="dxa"/>
            <w:vMerge w:val="restart"/>
            <w:tcBorders>
              <w:top w:val="single" w:color="000000" w:sz="8" w:space="0"/>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得分</w:t>
            </w:r>
          </w:p>
        </w:tc>
      </w:tr>
      <w:tr>
        <w:tblPrEx>
          <w:tblCellMar>
            <w:top w:w="0" w:type="dxa"/>
            <w:left w:w="108" w:type="dxa"/>
            <w:bottom w:w="0" w:type="dxa"/>
            <w:right w:w="108" w:type="dxa"/>
          </w:tblCellMar>
        </w:tblPrEx>
        <w:trPr>
          <w:trHeight w:val="447" w:hRule="atLeast"/>
        </w:trPr>
        <w:tc>
          <w:tcPr>
            <w:tcW w:w="1360" w:type="dxa"/>
            <w:gridSpan w:val="2"/>
            <w:tcBorders>
              <w:top w:val="single" w:color="000000" w:sz="4" w:space="0"/>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一级指标</w:t>
            </w:r>
          </w:p>
        </w:tc>
        <w:tc>
          <w:tcPr>
            <w:tcW w:w="2920" w:type="dxa"/>
            <w:gridSpan w:val="2"/>
            <w:tcBorders>
              <w:top w:val="single" w:color="000000" w:sz="4" w:space="0"/>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二级指标</w:t>
            </w:r>
          </w:p>
        </w:tc>
        <w:tc>
          <w:tcPr>
            <w:tcW w:w="2720" w:type="dxa"/>
            <w:gridSpan w:val="2"/>
            <w:tcBorders>
              <w:top w:val="single" w:color="000000" w:sz="4" w:space="0"/>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三级指标</w:t>
            </w:r>
          </w:p>
        </w:tc>
        <w:tc>
          <w:tcPr>
            <w:tcW w:w="1180" w:type="dxa"/>
            <w:vMerge w:val="continue"/>
            <w:tcBorders>
              <w:top w:val="single" w:color="000000" w:sz="8" w:space="0"/>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040" w:type="dxa"/>
            <w:vMerge w:val="continue"/>
            <w:tcBorders>
              <w:top w:val="single" w:color="000000" w:sz="8" w:space="0"/>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r>
      <w:tr>
        <w:tblPrEx>
          <w:tblCellMar>
            <w:top w:w="0" w:type="dxa"/>
            <w:left w:w="108" w:type="dxa"/>
            <w:bottom w:w="0" w:type="dxa"/>
            <w:right w:w="108" w:type="dxa"/>
          </w:tblCellMar>
        </w:tblPrEx>
        <w:trPr>
          <w:trHeight w:val="516" w:hRule="atLeast"/>
        </w:trPr>
        <w:tc>
          <w:tcPr>
            <w:tcW w:w="780" w:type="dxa"/>
            <w:tcBorders>
              <w:top w:val="nil"/>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名称</w:t>
            </w:r>
          </w:p>
        </w:tc>
        <w:tc>
          <w:tcPr>
            <w:tcW w:w="58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权重</w:t>
            </w: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名称</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权重</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名称</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权重</w:t>
            </w:r>
          </w:p>
        </w:tc>
        <w:tc>
          <w:tcPr>
            <w:tcW w:w="1180" w:type="dxa"/>
            <w:vMerge w:val="continue"/>
            <w:tcBorders>
              <w:top w:val="single" w:color="000000" w:sz="8" w:space="0"/>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040" w:type="dxa"/>
            <w:vMerge w:val="continue"/>
            <w:tcBorders>
              <w:top w:val="single" w:color="000000" w:sz="8" w:space="0"/>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r>
      <w:tr>
        <w:tblPrEx>
          <w:tblCellMar>
            <w:top w:w="0" w:type="dxa"/>
            <w:left w:w="108" w:type="dxa"/>
            <w:bottom w:w="0" w:type="dxa"/>
            <w:right w:w="108" w:type="dxa"/>
          </w:tblCellMar>
        </w:tblPrEx>
        <w:trPr>
          <w:trHeight w:val="525" w:hRule="atLeast"/>
        </w:trPr>
        <w:tc>
          <w:tcPr>
            <w:tcW w:w="780" w:type="dxa"/>
            <w:vMerge w:val="restart"/>
            <w:tcBorders>
              <w:top w:val="nil"/>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预算编制及执行情况</w:t>
            </w:r>
          </w:p>
        </w:tc>
        <w:tc>
          <w:tcPr>
            <w:tcW w:w="58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80</w:t>
            </w:r>
          </w:p>
        </w:tc>
        <w:tc>
          <w:tcPr>
            <w:tcW w:w="1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预算编制的准确完整性</w:t>
            </w:r>
          </w:p>
        </w:tc>
        <w:tc>
          <w:tcPr>
            <w:tcW w:w="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30</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财政拨款收入预决算差异率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1180" w:type="dxa"/>
            <w:tcBorders>
              <w:top w:val="nil"/>
              <w:left w:val="nil"/>
              <w:bottom w:val="single" w:color="000000" w:sz="4" w:space="0"/>
              <w:right w:val="single" w:color="000000" w:sz="4" w:space="0"/>
            </w:tcBorders>
            <w:vAlign w:val="center"/>
          </w:tcPr>
          <w:p>
            <w:pPr>
              <w:widowControl/>
              <w:tabs>
                <w:tab w:val="left" w:pos="375"/>
              </w:tabs>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ab/>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非财政拨款收入预决算差异率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1180" w:type="dxa"/>
            <w:tcBorders>
              <w:top w:val="nil"/>
              <w:left w:val="nil"/>
              <w:bottom w:val="single" w:color="000000" w:sz="4" w:space="0"/>
              <w:right w:val="single" w:color="000000" w:sz="4" w:space="0"/>
            </w:tcBorders>
            <w:vAlign w:val="center"/>
          </w:tcPr>
          <w:p>
            <w:pPr>
              <w:widowControl/>
              <w:tabs>
                <w:tab w:val="center" w:pos="482"/>
                <w:tab w:val="right" w:pos="1304"/>
              </w:tabs>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ab/>
            </w:r>
            <w:r>
              <w:rPr>
                <w:rFonts w:hint="eastAsia" w:ascii="仿宋" w:hAnsi="仿宋" w:eastAsia="仿宋" w:cs="宋体"/>
                <w:bCs/>
                <w:color w:val="000000"/>
                <w:kern w:val="0"/>
                <w:sz w:val="32"/>
                <w:szCs w:val="32"/>
              </w:rPr>
              <w:tab/>
            </w: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ind w:right="22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9</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年初结转和结余预决算差异率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ab/>
            </w: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r>
      <w:tr>
        <w:tblPrEx>
          <w:tblCellMar>
            <w:top w:w="0" w:type="dxa"/>
            <w:left w:w="108" w:type="dxa"/>
            <w:bottom w:w="0" w:type="dxa"/>
            <w:right w:w="108" w:type="dxa"/>
          </w:tblCellMar>
        </w:tblPrEx>
        <w:trPr>
          <w:trHeight w:val="519"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基本支出预决算差异率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4</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预算执行的有效性</w:t>
            </w:r>
          </w:p>
        </w:tc>
        <w:tc>
          <w:tcPr>
            <w:tcW w:w="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40</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基本支出人员经费预决算差异率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9</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基本支出公用经费预决算差异率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财政拨款结转和结余率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财政拨款结转和结余上下年变动率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财政收回存量资金占上年财政拨款结转和结余比重</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“三公”经费支出预决算差异率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r>
      <w:tr>
        <w:tblPrEx>
          <w:tblCellMar>
            <w:top w:w="0" w:type="dxa"/>
            <w:left w:w="108" w:type="dxa"/>
            <w:bottom w:w="0" w:type="dxa"/>
            <w:right w:w="108" w:type="dxa"/>
          </w:tblCellMar>
        </w:tblPrEx>
        <w:trPr>
          <w:trHeight w:val="846"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预算编制及执行的规范性</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项目支出中开支在职人员及离退休经费比重</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　</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9</w:t>
            </w:r>
          </w:p>
        </w:tc>
      </w:tr>
      <w:tr>
        <w:tblPrEx>
          <w:tblCellMar>
            <w:top w:w="0" w:type="dxa"/>
            <w:left w:w="108" w:type="dxa"/>
            <w:bottom w:w="0" w:type="dxa"/>
            <w:right w:w="108" w:type="dxa"/>
          </w:tblCellMar>
        </w:tblPrEx>
        <w:trPr>
          <w:trHeight w:val="525" w:hRule="atLeast"/>
        </w:trPr>
        <w:tc>
          <w:tcPr>
            <w:tcW w:w="780" w:type="dxa"/>
            <w:vMerge w:val="restart"/>
            <w:tcBorders>
              <w:top w:val="nil"/>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财务状况</w:t>
            </w:r>
          </w:p>
        </w:tc>
        <w:tc>
          <w:tcPr>
            <w:tcW w:w="58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15</w:t>
            </w: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资产状况</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7</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资产类往来款变动率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7</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7</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负债状况</w:t>
            </w:r>
          </w:p>
        </w:tc>
        <w:tc>
          <w:tcPr>
            <w:tcW w:w="96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8</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负债类往来款变动率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6</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6</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96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事业单位借款变动率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w:t>
            </w:r>
          </w:p>
        </w:tc>
      </w:tr>
      <w:tr>
        <w:tblPrEx>
          <w:tblCellMar>
            <w:top w:w="0" w:type="dxa"/>
            <w:left w:w="108" w:type="dxa"/>
            <w:bottom w:w="0" w:type="dxa"/>
            <w:right w:w="108" w:type="dxa"/>
          </w:tblCellMar>
        </w:tblPrEx>
        <w:trPr>
          <w:trHeight w:val="525" w:hRule="atLeast"/>
        </w:trPr>
        <w:tc>
          <w:tcPr>
            <w:tcW w:w="780" w:type="dxa"/>
            <w:vMerge w:val="restart"/>
            <w:tcBorders>
              <w:top w:val="nil"/>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人员情况</w:t>
            </w:r>
          </w:p>
        </w:tc>
        <w:tc>
          <w:tcPr>
            <w:tcW w:w="580" w:type="dxa"/>
            <w:vMerge w:val="restart"/>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w:t>
            </w: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在职人员控制</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在职人员控制率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其他人员控制</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其他人员增减率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r>
      <w:tr>
        <w:tblPrEx>
          <w:tblCellMar>
            <w:top w:w="0" w:type="dxa"/>
            <w:left w:w="108" w:type="dxa"/>
            <w:bottom w:w="0" w:type="dxa"/>
            <w:right w:w="108" w:type="dxa"/>
          </w:tblCellMar>
        </w:tblPrEx>
        <w:trPr>
          <w:trHeight w:val="525" w:hRule="atLeast"/>
        </w:trPr>
        <w:tc>
          <w:tcPr>
            <w:tcW w:w="780" w:type="dxa"/>
            <w:vMerge w:val="continue"/>
            <w:tcBorders>
              <w:top w:val="nil"/>
              <w:left w:val="single" w:color="000000" w:sz="8" w:space="0"/>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580" w:type="dxa"/>
            <w:vMerge w:val="continue"/>
            <w:tcBorders>
              <w:top w:val="nil"/>
              <w:left w:val="nil"/>
              <w:bottom w:val="single" w:color="000000" w:sz="4" w:space="0"/>
              <w:right w:val="single" w:color="000000" w:sz="4" w:space="0"/>
            </w:tcBorders>
            <w:vAlign w:val="center"/>
          </w:tcPr>
          <w:p>
            <w:pPr>
              <w:kinsoku w:val="0"/>
              <w:autoSpaceDE w:val="0"/>
              <w:autoSpaceDN w:val="0"/>
              <w:rPr>
                <w:rFonts w:ascii="仿宋" w:hAnsi="仿宋" w:eastAsia="仿宋" w:cs="宋体"/>
                <w:bCs/>
                <w:sz w:val="32"/>
                <w:szCs w:val="32"/>
              </w:rPr>
            </w:pP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财政拨款（补助）人员控制</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一般公共预算财政拨款（补助）人员增减率</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w:t>
            </w:r>
          </w:p>
        </w:tc>
      </w:tr>
      <w:tr>
        <w:tblPrEx>
          <w:tblCellMar>
            <w:top w:w="0" w:type="dxa"/>
            <w:left w:w="108" w:type="dxa"/>
            <w:bottom w:w="0" w:type="dxa"/>
            <w:right w:w="108" w:type="dxa"/>
          </w:tblCellMar>
        </w:tblPrEx>
        <w:trPr>
          <w:trHeight w:val="447" w:hRule="atLeast"/>
        </w:trPr>
        <w:tc>
          <w:tcPr>
            <w:tcW w:w="780" w:type="dxa"/>
            <w:tcBorders>
              <w:top w:val="nil"/>
              <w:left w:val="single" w:color="000000" w:sz="8" w:space="0"/>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合计</w:t>
            </w:r>
          </w:p>
        </w:tc>
        <w:tc>
          <w:tcPr>
            <w:tcW w:w="58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100</w:t>
            </w:r>
          </w:p>
        </w:tc>
        <w:tc>
          <w:tcPr>
            <w:tcW w:w="1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w:t>
            </w:r>
          </w:p>
        </w:tc>
        <w:tc>
          <w:tcPr>
            <w:tcW w:w="96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100</w:t>
            </w:r>
          </w:p>
        </w:tc>
        <w:tc>
          <w:tcPr>
            <w:tcW w:w="208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w:t>
            </w:r>
          </w:p>
        </w:tc>
        <w:tc>
          <w:tcPr>
            <w:tcW w:w="64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100</w:t>
            </w:r>
          </w:p>
        </w:tc>
        <w:tc>
          <w:tcPr>
            <w:tcW w:w="1180" w:type="dxa"/>
            <w:tcBorders>
              <w:top w:val="nil"/>
              <w:left w:val="nil"/>
              <w:bottom w:val="single" w:color="000000" w:sz="4" w:space="0"/>
              <w:right w:val="single" w:color="000000" w:sz="4" w:space="0"/>
            </w:tcBorders>
            <w:vAlign w:val="center"/>
          </w:tcPr>
          <w:p>
            <w:pPr>
              <w:widowControl/>
              <w:kinsoku w:val="0"/>
              <w:autoSpaceDE w:val="0"/>
              <w:autoSpaceDN w:val="0"/>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w:t>
            </w:r>
          </w:p>
        </w:tc>
        <w:tc>
          <w:tcPr>
            <w:tcW w:w="1040" w:type="dxa"/>
            <w:tcBorders>
              <w:top w:val="nil"/>
              <w:left w:val="nil"/>
              <w:bottom w:val="single" w:color="000000" w:sz="4" w:space="0"/>
              <w:right w:val="single" w:color="000000" w:sz="4" w:space="0"/>
            </w:tcBorders>
            <w:vAlign w:val="center"/>
          </w:tcPr>
          <w:p>
            <w:pPr>
              <w:widowControl/>
              <w:kinsoku w:val="0"/>
              <w:autoSpaceDE w:val="0"/>
              <w:autoSpaceDN w:val="0"/>
              <w:jc w:val="righ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96</w:t>
            </w:r>
          </w:p>
        </w:tc>
      </w:tr>
    </w:tbl>
    <w:p>
      <w:pPr>
        <w:snapToGrid w:val="0"/>
        <w:spacing w:line="520" w:lineRule="exact"/>
        <w:ind w:firstLine="640" w:firstLineChars="200"/>
        <w:rPr>
          <w:rFonts w:ascii="仿宋" w:hAnsi="仿宋" w:eastAsia="仿宋" w:cs="宋体"/>
          <w:sz w:val="32"/>
          <w:szCs w:val="32"/>
        </w:rPr>
      </w:pP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（2）差异原因分析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事业收入有不确定性，稍有变动。</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2．收入支出结构分析。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（1）各项收入占总收入的比重，各项支出占总支出的比重</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全年总收入1193.805万元,其中财政拨款收入1101.359万元，事业收入194.584万元。</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全年总支出1193.805万元，其中人员支出</w:t>
      </w:r>
      <w:r>
        <w:rPr>
          <w:rFonts w:hint="eastAsia" w:ascii="仿宋" w:hAnsi="仿宋" w:eastAsia="仿宋" w:cs="宋体"/>
          <w:bCs/>
          <w:kern w:val="0"/>
          <w:sz w:val="32"/>
          <w:szCs w:val="32"/>
        </w:rPr>
        <w:t>893.756万元，占总支出的74.9%；商品和服务支出116.73万元，占总支出的9.8%；项目支出183.31万元，占总支出的15.3%。</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（2）收入支出增减变动的原因分析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2022年收入支出稍微增加，主要原因是增加了工资。</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3．支出按经济分类科目分析。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（1）“三公”经费支出情况：</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2022年“三公”经费决算为21.97万元，较2020年16.68万元，增加5.29万元，主要原因是2022年增加了执法车辆。</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 xml:space="preserve">    （2）会议费支出情况：</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　　 2022年会议费决算为0元，较2020年0元，持平 。</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（3）培训费支出情况：</w:t>
      </w:r>
    </w:p>
    <w:p>
      <w:pPr>
        <w:snapToGrid w:val="0"/>
        <w:spacing w:line="520" w:lineRule="exact"/>
        <w:rPr>
          <w:rFonts w:ascii="仿宋" w:hAnsi="仿宋" w:eastAsia="仿宋" w:cs="宋体"/>
          <w:sz w:val="32"/>
          <w:szCs w:val="32"/>
        </w:rPr>
      </w:pPr>
      <w:r>
        <w:rPr>
          <w:rFonts w:hint="eastAsia" w:ascii="仿宋" w:hAnsi="仿宋" w:eastAsia="仿宋" w:cs="宋体"/>
          <w:sz w:val="32"/>
          <w:szCs w:val="32"/>
        </w:rPr>
        <w:t>　　2022年培训费决算为2440元，较2021年19760元，减少17320元，主要原因是减少了执法培训。</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（4）其他对单位影响较大的支出情况：无</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（5）重点经济分类支出中存在的问题及改进措施：无</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4.财政拨款收入、支出分析。</w:t>
      </w:r>
    </w:p>
    <w:p>
      <w:pPr>
        <w:snapToGrid w:val="0"/>
        <w:spacing w:line="520" w:lineRule="exact"/>
        <w:ind w:firstLine="640" w:firstLineChars="200"/>
        <w:rPr>
          <w:rFonts w:ascii="仿宋" w:hAnsi="仿宋" w:eastAsia="仿宋" w:cs="宋体"/>
          <w:b/>
          <w:sz w:val="32"/>
          <w:szCs w:val="32"/>
        </w:rPr>
      </w:pPr>
      <w:r>
        <w:rPr>
          <w:rFonts w:hint="eastAsia" w:ascii="仿宋" w:hAnsi="仿宋" w:eastAsia="仿宋" w:cs="宋体"/>
          <w:color w:val="000000"/>
          <w:sz w:val="32"/>
          <w:szCs w:val="32"/>
        </w:rPr>
        <w:t>本年度财政拨款收入1193.805万元，支出1193.805万元，其中：基本支出1010.487万元（包括人员经费893.757万元和日常公用经费116.73万元）、项目支出183.318万元。</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5.非财政拨款收入分析。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本年度非财政拨款收入82.725万元，均为事业收入。</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（三）年末结转和结余情况。</w:t>
      </w:r>
    </w:p>
    <w:p>
      <w:pPr>
        <w:snapToGrid w:val="0"/>
        <w:spacing w:line="52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本年度财政拨款收入1193.805万元，支出1193.805万元，无年末结转结余。其中：</w:t>
      </w:r>
      <w:bookmarkStart w:id="2" w:name="YS060103"/>
      <w:r>
        <w:rPr>
          <w:rFonts w:hint="eastAsia" w:ascii="仿宋" w:hAnsi="仿宋" w:eastAsia="仿宋" w:cs="宋体"/>
          <w:color w:val="000000"/>
          <w:sz w:val="32"/>
          <w:szCs w:val="32"/>
        </w:rPr>
        <w:t>基本支出1010.487万元（包括人员经费893.757万元和日常公用经费116.73万元）、项目支出183.318万元。</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（四）与预算支出相关的其他指标分析。</w:t>
      </w:r>
    </w:p>
    <w:p>
      <w:pPr>
        <w:pStyle w:val="4"/>
        <w:spacing w:before="0" w:beforeAutospacing="0" w:after="0" w:afterAutospacing="0"/>
        <w:ind w:firstLine="480"/>
        <w:jc w:val="both"/>
        <w:rPr>
          <w:rFonts w:ascii="仿宋" w:hAnsi="仿宋" w:eastAsia="仿宋"/>
          <w:color w:val="000000"/>
          <w:sz w:val="32"/>
          <w:szCs w:val="32"/>
        </w:rPr>
      </w:pPr>
      <w:r>
        <w:rPr>
          <w:rFonts w:hint="eastAsia" w:ascii="仿宋" w:hAnsi="仿宋" w:eastAsia="仿宋"/>
          <w:color w:val="000000"/>
          <w:sz w:val="32"/>
          <w:szCs w:val="32"/>
        </w:rPr>
        <w:t>年末资产为1484173元，年初资产为</w:t>
      </w:r>
      <w:r>
        <w:rPr>
          <w:rFonts w:ascii="仿宋" w:hAnsi="仿宋" w:eastAsia="仿宋"/>
          <w:color w:val="000000"/>
          <w:sz w:val="32"/>
          <w:szCs w:val="32"/>
        </w:rPr>
        <w:t>1437813</w:t>
      </w:r>
      <w:r>
        <w:rPr>
          <w:rFonts w:hint="eastAsia" w:ascii="仿宋" w:hAnsi="仿宋" w:eastAsia="仿宋"/>
          <w:color w:val="000000"/>
          <w:sz w:val="32"/>
          <w:szCs w:val="32"/>
        </w:rPr>
        <w:t>元，较之增幅9%，原因为办公楼添置了空调、办公桌等固定资产。</w:t>
      </w:r>
    </w:p>
    <w:p>
      <w:pPr>
        <w:snapToGrid w:val="0"/>
        <w:spacing w:line="520" w:lineRule="exact"/>
        <w:rPr>
          <w:rFonts w:ascii="仿宋" w:hAnsi="仿宋" w:eastAsia="仿宋" w:cs="宋体"/>
          <w:b/>
          <w:sz w:val="32"/>
          <w:szCs w:val="32"/>
        </w:rPr>
      </w:pPr>
      <w:r>
        <w:rPr>
          <w:rFonts w:hint="eastAsia" w:ascii="仿宋" w:hAnsi="仿宋" w:eastAsia="仿宋" w:cs="宋体"/>
          <w:b/>
          <w:sz w:val="32"/>
          <w:szCs w:val="32"/>
        </w:rPr>
        <w:t xml:space="preserve">    （五）绩效目标完成情况。</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1.概述项目绩效目标完成情况。</w:t>
      </w:r>
    </w:p>
    <w:p>
      <w:pPr>
        <w:widowControl/>
        <w:shd w:val="clear" w:color="auto" w:fill="FFFFFF"/>
        <w:spacing w:line="540" w:lineRule="atLeast"/>
        <w:ind w:firstLine="560"/>
        <w:jc w:val="left"/>
        <w:rPr>
          <w:rFonts w:ascii="仿宋" w:hAnsi="仿宋" w:eastAsia="仿宋" w:cs="宋体"/>
          <w:color w:val="313131"/>
          <w:kern w:val="0"/>
          <w:sz w:val="32"/>
          <w:szCs w:val="32"/>
        </w:rPr>
      </w:pPr>
      <w:r>
        <w:rPr>
          <w:rFonts w:hint="eastAsia" w:ascii="仿宋" w:hAnsi="仿宋" w:eastAsia="仿宋" w:cs="宋体"/>
          <w:color w:val="000000"/>
          <w:kern w:val="0"/>
          <w:sz w:val="32"/>
          <w:szCs w:val="32"/>
        </w:rPr>
        <w:t>城管监察工作是一项提升城市品位和竞争力、惠民生的综合工程。2022年城管大队通过开展各种大型市容秩序整治工作，使</w:t>
      </w:r>
      <w:r>
        <w:rPr>
          <w:rFonts w:hint="eastAsia" w:ascii="仿宋" w:hAnsi="仿宋" w:eastAsia="仿宋" w:cs="宋体"/>
          <w:color w:val="313131"/>
          <w:kern w:val="0"/>
          <w:sz w:val="32"/>
          <w:szCs w:val="32"/>
        </w:rPr>
        <w:t>沅江城区的市容秩序状况得到了进一步改善。这项工作对提高城市品位，促进经济社会综合发展和提高市民幸福指数，巩固沅江市作为国家卫生城市的地位起到了积极作用。</w:t>
      </w:r>
    </w:p>
    <w:p>
      <w:pPr>
        <w:widowControl/>
        <w:shd w:val="clear" w:color="auto" w:fill="FFFFFF"/>
        <w:spacing w:line="540" w:lineRule="atLeast"/>
        <w:jc w:val="left"/>
        <w:rPr>
          <w:rFonts w:ascii="仿宋" w:hAnsi="仿宋" w:eastAsia="仿宋" w:cs="宋体"/>
          <w:color w:val="313131"/>
          <w:kern w:val="0"/>
          <w:sz w:val="32"/>
          <w:szCs w:val="32"/>
        </w:rPr>
      </w:pPr>
      <w:r>
        <w:rPr>
          <w:rFonts w:hint="eastAsia" w:ascii="仿宋" w:hAnsi="仿宋" w:eastAsia="仿宋" w:cs="宋体"/>
          <w:color w:val="313131"/>
          <w:kern w:val="0"/>
          <w:sz w:val="32"/>
          <w:szCs w:val="32"/>
        </w:rPr>
        <w:t xml:space="preserve">    通过采用定量分析和定性分析相结合的方法，从预算编制、执行、资金使用、监管以及财务会计信息、项目组织管理、项目业绩完成等方面对专项资金进行了综合评价，形成综合绩效评价结论。根据《2022年专项资金绩效评价指标体系表》，综合得分93分，绩效评价等级为“良好”。</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2.概述本单位整体支出绩效目标实现情况。</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color w:val="000000"/>
          <w:kern w:val="0"/>
          <w:sz w:val="32"/>
          <w:szCs w:val="32"/>
        </w:rPr>
        <w:t>通过认真对照《2022年部门整体支出绩效评价指标表》开展自评，我大队在“投入”、“过程”、“产出”、“效果”等方面都执行较好，自评得分96分。扣分的原因主要是：资金预算编制不够细化，公益性和创新性项目比例较低，社会满意度一般等。</w:t>
      </w:r>
    </w:p>
    <w:p>
      <w:pPr>
        <w:snapToGrid w:val="0"/>
        <w:spacing w:line="520" w:lineRule="exact"/>
        <w:ind w:firstLine="642" w:firstLineChars="200"/>
        <w:rPr>
          <w:rFonts w:ascii="仿宋" w:hAnsi="仿宋" w:eastAsia="仿宋" w:cs="宋体"/>
          <w:b/>
          <w:sz w:val="32"/>
          <w:szCs w:val="32"/>
        </w:rPr>
      </w:pPr>
      <w:r>
        <w:rPr>
          <w:rFonts w:hint="eastAsia" w:ascii="仿宋" w:hAnsi="仿宋" w:eastAsia="仿宋" w:cs="宋体"/>
          <w:b/>
          <w:sz w:val="32"/>
          <w:szCs w:val="32"/>
        </w:rPr>
        <w:t>（六）当年预算执行及绩效管理中存在问题、原因及改进措施。</w:t>
      </w:r>
    </w:p>
    <w:bookmarkEnd w:id="2"/>
    <w:p>
      <w:pPr>
        <w:snapToGrid w:val="0"/>
        <w:spacing w:line="520" w:lineRule="exact"/>
        <w:ind w:firstLine="640" w:firstLineChars="200"/>
        <w:rPr>
          <w:rFonts w:ascii="仿宋" w:hAnsi="仿宋" w:eastAsia="仿宋" w:cs="宋体"/>
          <w:color w:val="000000"/>
          <w:kern w:val="0"/>
          <w:sz w:val="32"/>
          <w:szCs w:val="32"/>
        </w:rPr>
      </w:pPr>
      <w:bookmarkStart w:id="3" w:name="YS060104"/>
      <w:r>
        <w:rPr>
          <w:rFonts w:hint="eastAsia" w:ascii="仿宋" w:hAnsi="仿宋" w:eastAsia="仿宋" w:cs="宋体"/>
          <w:color w:val="000000"/>
          <w:kern w:val="0"/>
          <w:sz w:val="32"/>
          <w:szCs w:val="32"/>
        </w:rPr>
        <w:t>１、进一步完善、明确和细化各项费用支出管理制度，严格控制招待费和各项费用支出。</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２、加强固定资产的管理，配置专管部门和专管人员，建立固定资产卡片，切实做到账卡相符、账物相符。</w:t>
      </w:r>
    </w:p>
    <w:p>
      <w:pPr>
        <w:snapToGrid w:val="0"/>
        <w:spacing w:line="52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３、预算财务分析常态化，定期做好预算支出财务分析。</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三、本年度部门决算等财务工作开展情况</w:t>
      </w:r>
    </w:p>
    <w:bookmarkEnd w:id="3"/>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（一）本单位财务管理、绩效管理、决算组织、编报、审核情况。</w:t>
      </w:r>
    </w:p>
    <w:p>
      <w:pPr>
        <w:kinsoku w:val="0"/>
        <w:autoSpaceDE w:val="0"/>
        <w:autoSpaceDN w:val="0"/>
        <w:snapToGrid w:val="0"/>
        <w:spacing w:line="520" w:lineRule="exact"/>
        <w:ind w:firstLine="640" w:firstLineChars="200"/>
        <w:rPr>
          <w:rFonts w:ascii="仿宋" w:hAnsi="仿宋" w:eastAsia="仿宋" w:cs="宋体"/>
          <w:bCs/>
          <w:sz w:val="32"/>
          <w:szCs w:val="32"/>
        </w:rPr>
      </w:pPr>
      <w:r>
        <w:rPr>
          <w:rFonts w:hint="eastAsia" w:ascii="仿宋" w:hAnsi="仿宋" w:eastAsia="仿宋" w:cs="宋体"/>
          <w:bCs/>
          <w:sz w:val="32"/>
          <w:szCs w:val="32"/>
        </w:rPr>
        <w:t>大队对财务进行规范化管理，同财政部门及时沟通学习，积极进行财政部门组织的决算、编报、审核等方面工作按时完成，认真如实填报。</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（二）本单位决算及绩效信息公开工作开展情况。</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bCs/>
          <w:sz w:val="32"/>
          <w:szCs w:val="32"/>
        </w:rPr>
        <w:t>大队对预算和决算公开工作、及主管部门对所属单位按规定批复决算的各项工作按规定认真执行，该填制及时填制，该公开及时公开，该上报及时上报。</w:t>
      </w:r>
    </w:p>
    <w:p>
      <w:pPr>
        <w:snapToGrid w:val="0"/>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（三）对部门决算管理工作的意见和建议：无</w:t>
      </w:r>
    </w:p>
    <w:p>
      <w:pPr>
        <w:snapToGrid w:val="0"/>
        <w:ind w:firstLine="640" w:firstLineChars="200"/>
        <w:rPr>
          <w:rFonts w:ascii="仿宋" w:hAnsi="仿宋" w:eastAsia="仿宋" w:cs="宋体"/>
          <w:sz w:val="32"/>
          <w:szCs w:val="32"/>
        </w:rPr>
      </w:pPr>
      <w:bookmarkStart w:id="4" w:name="YS060202"/>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事业单位财务分析指标</w:t>
      </w:r>
    </w:p>
    <w:bookmarkEnd w:id="4"/>
    <w:p>
      <w:pPr>
        <w:snapToGrid w:val="0"/>
        <w:ind w:firstLine="640" w:firstLineChars="200"/>
        <w:rPr>
          <w:rFonts w:ascii="仿宋" w:hAnsi="仿宋" w:eastAsia="仿宋" w:cs="宋体"/>
          <w:sz w:val="32"/>
          <w:szCs w:val="32"/>
        </w:rPr>
      </w:pPr>
      <w:r>
        <w:rPr>
          <w:rFonts w:hint="eastAsia" w:ascii="仿宋" w:hAnsi="仿宋" w:eastAsia="仿宋" w:cs="宋体"/>
          <w:sz w:val="32"/>
          <w:szCs w:val="32"/>
        </w:rPr>
        <w:t>1.预算收入和支出完成率，衡量事业单位收入和支出总预算及分项预算完成的程度。计算公式为：</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预算收入完成率＝年终执行数÷调整预算数×100%</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年终执行数不含上年结转和结余收入数</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预算支出完成率＝年终执行数÷调整预算数×100%</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年终执行数不含上年结转和结余支出数</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2.人员支出、公用支出占事业支出的比率，衡量事业单位事业支出结构。计算公式为：</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人员支出比率＝人员支出÷事业支出×100%</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公用支出比率＝公用支出÷事业支出×100%</w:t>
      </w: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3.人均基本支出，衡量事业单位按照实际在编人数平均的基本支出水平。计算公式为：</w:t>
      </w:r>
    </w:p>
    <w:p>
      <w:pPr>
        <w:snapToGrid w:val="0"/>
        <w:ind w:firstLine="640" w:firstLineChars="200"/>
        <w:rPr>
          <w:rFonts w:ascii="仿宋" w:hAnsi="仿宋" w:eastAsia="仿宋" w:cs="宋体"/>
          <w:b/>
          <w:sz w:val="32"/>
          <w:szCs w:val="32"/>
        </w:rPr>
      </w:pPr>
      <w:r>
        <w:rPr>
          <w:rFonts w:hint="eastAsia" w:ascii="仿宋" w:hAnsi="仿宋" w:eastAsia="仿宋" w:cs="宋体"/>
          <w:sz w:val="32"/>
          <w:szCs w:val="32"/>
        </w:rPr>
        <w:t>人均基本支出＝（基本支出-离退休人员支出）÷实际在编人数</w:t>
      </w:r>
    </w:p>
    <w:p>
      <w:pPr>
        <w:snapToGrid w:val="0"/>
        <w:ind w:firstLine="640" w:firstLineChars="200"/>
        <w:rPr>
          <w:rFonts w:ascii="仿宋" w:hAnsi="仿宋" w:eastAsia="仿宋" w:cs="宋体"/>
          <w:sz w:val="32"/>
          <w:szCs w:val="32"/>
        </w:rPr>
      </w:pPr>
    </w:p>
    <w:p>
      <w:pPr>
        <w:snapToGrid w:val="0"/>
        <w:ind w:firstLine="640" w:firstLineChars="200"/>
        <w:rPr>
          <w:rFonts w:ascii="仿宋" w:hAnsi="仿宋" w:eastAsia="仿宋" w:cs="宋体"/>
          <w:sz w:val="32"/>
          <w:szCs w:val="32"/>
        </w:rPr>
      </w:pPr>
      <w:r>
        <w:rPr>
          <w:rFonts w:hint="eastAsia" w:ascii="仿宋" w:hAnsi="仿宋" w:eastAsia="仿宋" w:cs="宋体"/>
          <w:sz w:val="32"/>
          <w:szCs w:val="32"/>
        </w:rPr>
        <w:t>此外，行业事业单位还可根据相关财务制度规定和分析需要增加相关分析指标，如：</w:t>
      </w:r>
    </w:p>
    <w:p>
      <w:pPr>
        <w:ind w:firstLine="707" w:firstLineChars="221"/>
        <w:rPr>
          <w:rFonts w:ascii="仿宋" w:hAnsi="仿宋" w:eastAsia="仿宋" w:cs="宋体"/>
          <w:sz w:val="32"/>
          <w:szCs w:val="32"/>
        </w:rPr>
      </w:pPr>
      <w:r>
        <w:rPr>
          <w:rFonts w:hint="eastAsia" w:ascii="仿宋" w:hAnsi="仿宋" w:eastAsia="仿宋" w:cs="宋体"/>
          <w:sz w:val="32"/>
          <w:szCs w:val="32"/>
        </w:rPr>
        <w:t>1.财政拨款依存度, 衡量部门（单位）对财政拨款的依赖程度。</w:t>
      </w:r>
    </w:p>
    <w:p>
      <w:pPr>
        <w:widowControl/>
        <w:ind w:firstLine="640" w:firstLineChars="200"/>
        <w:textAlignment w:val="center"/>
        <w:rPr>
          <w:rFonts w:ascii="仿宋" w:hAnsi="仿宋" w:eastAsia="仿宋" w:cs="宋体"/>
          <w:sz w:val="32"/>
          <w:szCs w:val="32"/>
        </w:rPr>
      </w:pPr>
      <w:r>
        <w:rPr>
          <w:rFonts w:hint="eastAsia" w:ascii="仿宋" w:hAnsi="仿宋" w:eastAsia="仿宋" w:cs="宋体"/>
          <w:sz w:val="32"/>
          <w:szCs w:val="32"/>
        </w:rPr>
        <w:t>财政拨款依存度＝财政拨款收入÷收入总额×100%</w:t>
      </w:r>
    </w:p>
    <w:p>
      <w:pPr>
        <w:snapToGrid w:val="0"/>
        <w:spacing w:line="520" w:lineRule="exact"/>
        <w:ind w:firstLine="640" w:firstLineChars="200"/>
        <w:rPr>
          <w:rFonts w:ascii="仿宋" w:hAnsi="仿宋" w:eastAsia="仿宋" w:cs="宋体"/>
          <w:sz w:val="32"/>
          <w:szCs w:val="32"/>
        </w:rPr>
      </w:pPr>
    </w:p>
    <w:p>
      <w:pPr>
        <w:snapToGrid w:val="0"/>
        <w:spacing w:line="520" w:lineRule="exact"/>
        <w:ind w:firstLine="640" w:firstLineChars="200"/>
        <w:rPr>
          <w:rFonts w:ascii="仿宋" w:hAnsi="仿宋" w:eastAsia="仿宋" w:cs="宋体"/>
          <w:sz w:val="32"/>
          <w:szCs w:val="32"/>
        </w:rPr>
      </w:pPr>
    </w:p>
    <w:bookmarkEnd w:id="1"/>
    <w:p>
      <w:pPr>
        <w:rPr>
          <w:rFonts w:ascii="仿宋" w:hAnsi="仿宋" w:eastAsia="仿宋"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A9"/>
    <w:rsid w:val="00044729"/>
    <w:rsid w:val="0008642D"/>
    <w:rsid w:val="000919DD"/>
    <w:rsid w:val="000D20C7"/>
    <w:rsid w:val="000E3DD8"/>
    <w:rsid w:val="000E4EBA"/>
    <w:rsid w:val="000F2967"/>
    <w:rsid w:val="001407F0"/>
    <w:rsid w:val="001E76F7"/>
    <w:rsid w:val="002278AC"/>
    <w:rsid w:val="0028047D"/>
    <w:rsid w:val="00290DAA"/>
    <w:rsid w:val="00305A7F"/>
    <w:rsid w:val="003377CB"/>
    <w:rsid w:val="003701BE"/>
    <w:rsid w:val="00380F02"/>
    <w:rsid w:val="00383B17"/>
    <w:rsid w:val="003C2F3D"/>
    <w:rsid w:val="004163E3"/>
    <w:rsid w:val="00453120"/>
    <w:rsid w:val="00460D4C"/>
    <w:rsid w:val="004C72A9"/>
    <w:rsid w:val="004E77B9"/>
    <w:rsid w:val="004F0A7A"/>
    <w:rsid w:val="005673A6"/>
    <w:rsid w:val="005E013E"/>
    <w:rsid w:val="006B36F9"/>
    <w:rsid w:val="006D3110"/>
    <w:rsid w:val="007319A3"/>
    <w:rsid w:val="007415BB"/>
    <w:rsid w:val="00754DB7"/>
    <w:rsid w:val="00757633"/>
    <w:rsid w:val="007B2C17"/>
    <w:rsid w:val="007E16D5"/>
    <w:rsid w:val="00812DC5"/>
    <w:rsid w:val="00860552"/>
    <w:rsid w:val="008848D8"/>
    <w:rsid w:val="008D102D"/>
    <w:rsid w:val="009423A8"/>
    <w:rsid w:val="00944B69"/>
    <w:rsid w:val="00950FFC"/>
    <w:rsid w:val="00986377"/>
    <w:rsid w:val="009B31E6"/>
    <w:rsid w:val="009B3997"/>
    <w:rsid w:val="009E5260"/>
    <w:rsid w:val="00A30BCC"/>
    <w:rsid w:val="00A47D98"/>
    <w:rsid w:val="00A55593"/>
    <w:rsid w:val="00A96CE9"/>
    <w:rsid w:val="00AC52C6"/>
    <w:rsid w:val="00B434D0"/>
    <w:rsid w:val="00B931A6"/>
    <w:rsid w:val="00BD0E7C"/>
    <w:rsid w:val="00BD5536"/>
    <w:rsid w:val="00C330D6"/>
    <w:rsid w:val="00C403B7"/>
    <w:rsid w:val="00CA1175"/>
    <w:rsid w:val="00CA62D7"/>
    <w:rsid w:val="00D268B4"/>
    <w:rsid w:val="00D60B41"/>
    <w:rsid w:val="00DC4EE7"/>
    <w:rsid w:val="00DE42CE"/>
    <w:rsid w:val="00E25018"/>
    <w:rsid w:val="00E26615"/>
    <w:rsid w:val="00E75210"/>
    <w:rsid w:val="00E873EA"/>
    <w:rsid w:val="00EB3FDB"/>
    <w:rsid w:val="00F24F67"/>
    <w:rsid w:val="00F65290"/>
    <w:rsid w:val="00FC2F74"/>
    <w:rsid w:val="00FF00C8"/>
    <w:rsid w:val="077C1E25"/>
    <w:rsid w:val="13B767C1"/>
    <w:rsid w:val="2CAA468A"/>
    <w:rsid w:val="399C0818"/>
    <w:rsid w:val="6C7D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5685</Words>
  <Characters>6049</Characters>
  <Lines>45</Lines>
  <Paragraphs>12</Paragraphs>
  <TotalTime>63</TotalTime>
  <ScaleCrop>false</ScaleCrop>
  <LinksUpToDate>false</LinksUpToDate>
  <CharactersWithSpaces>6089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2023-02-22T15:24:00Z</dcterms:created>
  <dc:creator>Microsoft</dc:creator>
  <cp:lastModifiedBy>YMDL</cp:lastModifiedBy>
  <dcterms:modified xsi:type="dcterms:W3CDTF">2025-09-08T11:25:27Z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86987EF1B97B457F93AF6BCAE12D2CA4_13</vt:lpwstr>
  </property>
</Properties>
</file>