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2023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沅江市阳罗洲镇中心卫生院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rPr>
          <w:rFonts w:eastAsia="黑体"/>
          <w:sz w:val="44"/>
          <w:szCs w:val="44"/>
        </w:rPr>
      </w:pPr>
    </w:p>
    <w:p>
      <w:pPr>
        <w:ind w:firstLine="720" w:firstLineChars="200"/>
        <w:rPr>
          <w:rFonts w:eastAsia="黑体"/>
          <w:sz w:val="36"/>
          <w:szCs w:val="36"/>
        </w:rPr>
      </w:pPr>
    </w:p>
    <w:p>
      <w:pPr>
        <w:ind w:firstLine="720" w:firstLineChars="200"/>
        <w:rPr>
          <w:rFonts w:eastAsia="黑体"/>
          <w:sz w:val="36"/>
          <w:szCs w:val="36"/>
        </w:rPr>
      </w:pPr>
    </w:p>
    <w:p>
      <w:pPr>
        <w:ind w:firstLine="180" w:firstLineChars="50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部门（</w:t>
      </w:r>
      <w:r>
        <w:rPr>
          <w:rFonts w:eastAsia="黑体"/>
          <w:sz w:val="36"/>
          <w:szCs w:val="36"/>
        </w:rPr>
        <w:t>单位</w:t>
      </w:r>
      <w:r>
        <w:rPr>
          <w:rFonts w:hint="eastAsia" w:eastAsia="黑体"/>
          <w:sz w:val="36"/>
          <w:szCs w:val="36"/>
        </w:rPr>
        <w:t>）</w:t>
      </w:r>
      <w:r>
        <w:rPr>
          <w:rFonts w:eastAsia="黑体"/>
          <w:sz w:val="36"/>
          <w:szCs w:val="36"/>
        </w:rPr>
        <w:t>名称：</w:t>
      </w:r>
      <w:r>
        <w:rPr>
          <w:rFonts w:hint="eastAsia" w:eastAsia="黑体"/>
          <w:sz w:val="36"/>
          <w:szCs w:val="36"/>
        </w:rPr>
        <w:t xml:space="preserve"> </w:t>
      </w:r>
    </w:p>
    <w:p>
      <w:pPr>
        <w:ind w:firstLine="180" w:firstLineChars="5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u w:val="single"/>
        </w:rPr>
        <w:t>沅江市阳罗洲镇中心卫生院</w:t>
      </w:r>
    </w:p>
    <w:p>
      <w:pPr>
        <w:ind w:firstLine="3240" w:firstLineChars="900"/>
        <w:rPr>
          <w:rFonts w:eastAsia="黑体"/>
          <w:sz w:val="36"/>
          <w:szCs w:val="36"/>
        </w:rPr>
      </w:pPr>
    </w:p>
    <w:p>
      <w:pPr>
        <w:ind w:firstLine="3240" w:firstLineChars="900"/>
        <w:rPr>
          <w:rFonts w:eastAsia="黑体"/>
          <w:sz w:val="36"/>
          <w:szCs w:val="36"/>
          <w:u w:val="single"/>
        </w:rPr>
      </w:pPr>
      <w:r>
        <w:rPr>
          <w:rFonts w:hint="eastAsia" w:eastAsia="黑体"/>
          <w:sz w:val="36"/>
          <w:szCs w:val="36"/>
        </w:rPr>
        <w:t>2024年05月13日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（此页为封面）</w:t>
      </w:r>
    </w:p>
    <w:p>
      <w:pPr>
        <w:spacing w:line="600" w:lineRule="exact"/>
        <w:ind w:firstLine="880" w:firstLineChars="200"/>
        <w:jc w:val="center"/>
        <w:rPr>
          <w:rFonts w:hint="eastAsia" w:eastAsia="黑体"/>
          <w:sz w:val="44"/>
          <w:szCs w:val="44"/>
        </w:rPr>
      </w:pPr>
    </w:p>
    <w:p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2023年度沅江市</w:t>
      </w:r>
      <w:r>
        <w:rPr>
          <w:rFonts w:hint="eastAsia" w:eastAsia="黑体"/>
          <w:sz w:val="44"/>
          <w:szCs w:val="44"/>
          <w:lang w:val="en-US" w:eastAsia="zh-CN"/>
        </w:rPr>
        <w:t>阳罗洲镇中心卫生院</w:t>
      </w:r>
      <w:r>
        <w:rPr>
          <w:rFonts w:hint="eastAsia" w:eastAsia="黑体"/>
          <w:sz w:val="44"/>
          <w:szCs w:val="44"/>
        </w:rPr>
        <w:t>整体支出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绩效自评报告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eastAsia="黑体"/>
          <w:sz w:val="32"/>
          <w:szCs w:val="32"/>
          <w:lang w:val="en-US" w:eastAsia="zh-CN"/>
        </w:rPr>
        <w:t>一、</w:t>
      </w:r>
      <w:r>
        <w:rPr>
          <w:rFonts w:hint="eastAsia" w:eastAsia="黑体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>
      <w:pPr>
        <w:numPr>
          <w:ilvl w:val="0"/>
          <w:numId w:val="0"/>
        </w:numPr>
        <w:spacing w:line="600" w:lineRule="exact"/>
        <w:ind w:firstLine="361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spacing w:val="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沅江市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阳罗洲镇</w:t>
      </w:r>
      <w:r>
        <w:rPr>
          <w:rFonts w:hint="eastAsia" w:ascii="仿宋" w:hAnsi="仿宋" w:eastAsia="仿宋" w:cs="仿宋"/>
          <w:sz w:val="32"/>
          <w:szCs w:val="32"/>
        </w:rPr>
        <w:t>中心卫生院始建于195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年，座落于沅江市北部重镇——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阳罗</w:t>
      </w:r>
      <w:r>
        <w:rPr>
          <w:rFonts w:hint="eastAsia" w:ascii="仿宋" w:hAnsi="仿宋" w:eastAsia="仿宋" w:cs="仿宋"/>
          <w:sz w:val="32"/>
          <w:szCs w:val="32"/>
        </w:rPr>
        <w:t>镇，承担着辖区及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四季红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黄茅洲</w:t>
      </w:r>
      <w:r>
        <w:rPr>
          <w:rFonts w:hint="eastAsia" w:ascii="仿宋" w:hAnsi="仿宋" w:eastAsia="仿宋" w:cs="仿宋"/>
          <w:sz w:val="32"/>
          <w:szCs w:val="32"/>
        </w:rPr>
        <w:t>周边近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万人民群众的基本医疗及草尾镇近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万人民群众的公共卫生服务工作。   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医院占地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20.61</w:t>
      </w:r>
      <w:r>
        <w:rPr>
          <w:rFonts w:hint="eastAsia" w:ascii="仿宋" w:hAnsi="仿宋" w:eastAsia="仿宋" w:cs="仿宋"/>
          <w:sz w:val="32"/>
          <w:szCs w:val="32"/>
        </w:rPr>
        <w:t>亩，固定资产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1790</w:t>
      </w:r>
      <w:r>
        <w:rPr>
          <w:rFonts w:hint="eastAsia" w:ascii="仿宋" w:hAnsi="仿宋" w:eastAsia="仿宋" w:cs="仿宋"/>
          <w:sz w:val="32"/>
          <w:szCs w:val="32"/>
        </w:rPr>
        <w:t>多万元，住院部开设床位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32"/>
        </w:rPr>
        <w:t>张，拥有在岗工作人员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 w:cs="仿宋"/>
          <w:sz w:val="32"/>
          <w:szCs w:val="32"/>
        </w:rPr>
        <w:t>人，其中副主任以上职称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人，中级以上职称 5人，初级职称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27人。</w:t>
      </w:r>
      <w:r>
        <w:rPr>
          <w:rFonts w:hint="eastAsia" w:ascii="仿宋" w:hAnsi="仿宋" w:eastAsia="仿宋" w:cs="仿宋"/>
          <w:sz w:val="32"/>
          <w:szCs w:val="32"/>
        </w:rPr>
        <w:t>医院目前主要承担着基本医疗与公共卫生服务工作，设有门诊、住院、及公共卫生服务科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大功能区，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个护理单元。去年门诊量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44500</w:t>
      </w:r>
      <w:r>
        <w:rPr>
          <w:rFonts w:hint="eastAsia" w:ascii="仿宋" w:hAnsi="仿宋" w:eastAsia="仿宋" w:cs="仿宋"/>
          <w:sz w:val="32"/>
          <w:szCs w:val="32"/>
        </w:rPr>
        <w:t>人次，住院病人数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3265</w:t>
      </w:r>
      <w:r>
        <w:rPr>
          <w:rFonts w:hint="eastAsia" w:ascii="仿宋" w:hAnsi="仿宋" w:eastAsia="仿宋" w:cs="仿宋"/>
          <w:sz w:val="32"/>
          <w:szCs w:val="32"/>
        </w:rPr>
        <w:t>人次，医院总收入近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1902.71</w:t>
      </w:r>
      <w:r>
        <w:rPr>
          <w:rFonts w:hint="eastAsia" w:ascii="仿宋" w:hAnsi="仿宋" w:eastAsia="仿宋" w:cs="仿宋"/>
          <w:sz w:val="32"/>
          <w:szCs w:val="32"/>
        </w:rPr>
        <w:t>万元。拥有CT、彩色B超、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 w:cs="仿宋"/>
          <w:sz w:val="32"/>
          <w:szCs w:val="32"/>
        </w:rPr>
        <w:t>R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全自动生化仪、荧光免疫分析仪、等各种仪器设备多台件。</w:t>
      </w:r>
    </w:p>
    <w:p>
      <w:pPr>
        <w:ind w:firstLine="640" w:firstLineChars="200"/>
        <w:jc w:val="left"/>
        <w:rPr>
          <w:rFonts w:hint="eastAsia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</w:t>
      </w:r>
      <w:r>
        <w:rPr>
          <w:rFonts w:hint="eastAsia" w:ascii="仿宋" w:hAnsi="仿宋" w:eastAsia="仿宋" w:cs="仿宋"/>
          <w:sz w:val="32"/>
          <w:szCs w:val="32"/>
        </w:rPr>
        <w:t>院业务开展情况：医院综合外科能开展四肢骨折、关节手术；妇产科能常规开展剖宫产、子宫肌瘤、卵巢囊肿切除等方面手术；内科技术力量雄厚，对于心脏、呼吸道、内分泌等方面疾病（如糖尿病、冠心病、中风等）能准确诊断与治疗，并在社会上形成了较高声誉；医院开展了中医特色科室：中医馆。</w:t>
      </w:r>
    </w:p>
    <w:p>
      <w:pPr>
        <w:pStyle w:val="3"/>
        <w:jc w:val="left"/>
        <w:rPr>
          <w:rFonts w:ascii="仿宋" w:hAnsi="仿宋" w:eastAsia="仿宋"/>
          <w:b w:val="0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b w:val="0"/>
        </w:rPr>
        <w:t>2023年，我院在市委，市政府及市卫健局的正确领导和大力支持下，以习</w:t>
      </w:r>
      <w:r>
        <w:rPr>
          <w:rFonts w:hint="eastAsia" w:ascii="仿宋" w:hAnsi="仿宋" w:eastAsia="仿宋"/>
          <w:b w:val="0"/>
          <w:lang w:eastAsia="zh-CN"/>
        </w:rPr>
        <w:t>近平</w:t>
      </w:r>
      <w:r>
        <w:rPr>
          <w:rFonts w:hint="eastAsia" w:ascii="仿宋" w:hAnsi="仿宋" w:eastAsia="仿宋"/>
          <w:b w:val="0"/>
        </w:rPr>
        <w:t>总书记新时代中国特色社会主义思想，党的二十大精神为指导，结合党的群众路线教育活动，卫计委九不准等要求认真做好勤政廉政工作，狠抓医院管理，使本院保持了良好的发展态势，业务收入稳步增长，社区卫生服务工作得到了全面发展。</w:t>
      </w:r>
    </w:p>
    <w:p>
      <w:pPr>
        <w:spacing w:line="600" w:lineRule="exact"/>
        <w:ind w:firstLine="4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1.党建工作方面</w:t>
      </w:r>
    </w:p>
    <w:p>
      <w:pPr>
        <w:spacing w:line="600" w:lineRule="exact"/>
        <w:ind w:left="147" w:leftChars="67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我院支部始终把加强组织建设作为一项基础性工作来抓，</w:t>
      </w:r>
      <w:r>
        <w:rPr>
          <w:rFonts w:hint="eastAsia" w:ascii="仿宋" w:hAnsi="仿宋" w:eastAsia="仿宋" w:cs="仿宋"/>
          <w:sz w:val="32"/>
          <w:szCs w:val="40"/>
        </w:rPr>
        <w:t>深化“一月一课一片一实践”主题党日活动，深入推进“三会一课”学习教育常态化、制度化。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班子成员严格按照“学思想、强党性、重实践、建新功”的总要求，在日常工作期间在原有学习的基础上取得新进步，同时加深了对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习近平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新时代中国特色社会主义思想和党中央大方针的理解；在主题教育期间，积极参与“以学铸魂、以学增智、以学正风、以学促干”的学习与讨论，在学习中坚定自身信念，始终保持共产党人的政治本色，在立足岗位做贡献中取得实实在在的成效；参加双重组织生活会制度，</w:t>
      </w:r>
      <w:r>
        <w:rPr>
          <w:rFonts w:hint="eastAsia" w:ascii="仿宋" w:hAnsi="仿宋" w:eastAsia="仿宋" w:cs="仿宋"/>
          <w:sz w:val="32"/>
          <w:szCs w:val="40"/>
        </w:rPr>
        <w:t>研究部署清廉医院建设工作， 实行“三重一大”决策制度，并严格按照十二项负面清单问题进行整改交流，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加强了意识形态宣传教育和政治思想教育工作。2023年较好地完成了党费收缴工作，今年上缴党费</w:t>
      </w:r>
      <w:r>
        <w:rPr>
          <w:rFonts w:ascii="Times New Roman" w:hAnsi="Times New Roman" w:eastAsia="仿宋"/>
          <w:sz w:val="32"/>
          <w:szCs w:val="32"/>
        </w:rPr>
        <w:t>9003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元,同时积极组织开展“党员心连心一日捐”活动，捐款</w:t>
      </w:r>
      <w:r>
        <w:rPr>
          <w:rFonts w:hint="eastAsia" w:ascii="Times New Roman" w:hAnsi="Times New Roman" w:eastAsia="仿宋"/>
          <w:sz w:val="32"/>
          <w:szCs w:val="32"/>
        </w:rPr>
        <w:t>1250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元。另外，因我院支部委员会于2023年11月10日任期届满，根据局工委统一部署要求，我院党支部换届选举工作于9月14日正式启动，于11月6日圆满结束。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2.业务工作方面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年来，全体职工不断加强业务学习，努力提高业务水平，对于常见病、多发病、慢性病基本能得到及时治疗，服务能力有了较大的提高，获得了群众的一致好评。今年业务总收入1580万元,业务总量实现了历史性的突破。同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加强医保相关政策的培训与管理，</w:t>
      </w:r>
      <w:r>
        <w:rPr>
          <w:rFonts w:hint="eastAsia" w:ascii="仿宋" w:hAnsi="仿宋" w:eastAsia="仿宋" w:cs="仿宋"/>
          <w:sz w:val="32"/>
          <w:szCs w:val="32"/>
        </w:rPr>
        <w:t>定期组织全中心医务人员认真学习医保相关政策及上级文件精神，严格按照医保政策做好医院的各项医疗工作，坚决杜绝过度诊疗、过度检查、超量开药、重复开药现象，对于违反者制定了相应的处罚制度，避免小病大治的情况发生；同时加强了护理人员业务学习，进一步提升专业技能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3.公卫工作方面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今年业务总收入1100万元,业务总量实现了历史性的突破。有序地开展家庭医生签约服务活动，组织成立了</w:t>
      </w:r>
      <w:r>
        <w:rPr>
          <w:rFonts w:hint="eastAsia" w:ascii="Times New Roman" w:hAnsi="Times New Roman" w:eastAsia="仿宋"/>
          <w:sz w:val="32"/>
          <w:szCs w:val="32"/>
        </w:rPr>
        <w:t>48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支家庭医生服务团队，明确职责，分片包块，责任到人。全年共签约</w:t>
      </w:r>
      <w:r>
        <w:rPr>
          <w:rFonts w:hint="eastAsia" w:ascii="Times New Roman" w:hAnsi="Times New Roman" w:eastAsia="仿宋"/>
          <w:sz w:val="32"/>
          <w:szCs w:val="32"/>
        </w:rPr>
        <w:t>37592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人，建档立卡贫困人口，计划生育特殊家庭、</w:t>
      </w:r>
      <w:r>
        <w:rPr>
          <w:rFonts w:hint="eastAsia" w:ascii="Times New Roman" w:hAnsi="Times New Roman" w:eastAsia="仿宋"/>
          <w:sz w:val="32"/>
          <w:szCs w:val="32"/>
        </w:rPr>
        <w:t>65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岁以上老年人、糖尿病患者、高血压患者签约率均达</w:t>
      </w:r>
      <w:r>
        <w:rPr>
          <w:rFonts w:hint="eastAsia" w:ascii="Times New Roman" w:hAnsi="Times New Roman" w:eastAsia="仿宋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；现建居民健康档案</w:t>
      </w:r>
      <w:r>
        <w:rPr>
          <w:rFonts w:hint="eastAsia" w:ascii="Times New Roman" w:hAnsi="Times New Roman" w:eastAsia="仿宋"/>
          <w:sz w:val="32"/>
          <w:szCs w:val="32"/>
        </w:rPr>
        <w:t>37592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份，建档率</w:t>
      </w:r>
      <w:r>
        <w:rPr>
          <w:rFonts w:hint="eastAsia" w:ascii="Times New Roman" w:hAnsi="Times New Roman" w:eastAsia="仿宋"/>
          <w:sz w:val="32"/>
          <w:szCs w:val="32"/>
        </w:rPr>
        <w:t>94.2%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，65岁以上老年人档案</w:t>
      </w:r>
      <w:r>
        <w:rPr>
          <w:rFonts w:hint="eastAsia" w:ascii="Times New Roman" w:hAnsi="Times New Roman" w:eastAsia="仿宋"/>
          <w:sz w:val="32"/>
          <w:szCs w:val="32"/>
        </w:rPr>
        <w:t>12144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份，高血压患者档案</w:t>
      </w:r>
      <w:r>
        <w:rPr>
          <w:rFonts w:hint="eastAsia" w:ascii="Times New Roman" w:hAnsi="Times New Roman" w:eastAsia="仿宋"/>
          <w:sz w:val="32"/>
          <w:szCs w:val="32"/>
        </w:rPr>
        <w:t>8748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份，糖尿病患者档案</w:t>
      </w:r>
      <w:r>
        <w:rPr>
          <w:rFonts w:hint="eastAsia" w:ascii="Times New Roman" w:hAnsi="Times New Roman" w:eastAsia="仿宋"/>
          <w:sz w:val="32"/>
          <w:szCs w:val="32"/>
        </w:rPr>
        <w:t>3240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份，查阅档案</w:t>
      </w:r>
      <w:r>
        <w:rPr>
          <w:rFonts w:hint="eastAsia" w:ascii="Times New Roman" w:hAnsi="Times New Roman" w:eastAsia="仿宋"/>
          <w:sz w:val="32"/>
          <w:szCs w:val="32"/>
        </w:rPr>
        <w:t>78143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份，查阅率达</w:t>
      </w:r>
      <w:r>
        <w:rPr>
          <w:rFonts w:hint="eastAsia" w:ascii="Times New Roman" w:hAnsi="Times New Roman" w:eastAsia="仿宋"/>
          <w:sz w:val="32"/>
          <w:szCs w:val="32"/>
        </w:rPr>
        <w:t>94%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；积极开展65岁以上老年人、糖尿病、高血压患者健康体检工作，共完成老年人、高血压、糖尿病规范体检</w:t>
      </w:r>
      <w:r>
        <w:rPr>
          <w:rFonts w:hint="eastAsia" w:ascii="Times New Roman" w:hAnsi="Times New Roman" w:eastAsia="仿宋"/>
          <w:sz w:val="32"/>
          <w:szCs w:val="32"/>
        </w:rPr>
        <w:t>10381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人，其中老年人健康体检</w:t>
      </w:r>
      <w:r>
        <w:rPr>
          <w:rFonts w:hint="eastAsia" w:ascii="Times New Roman" w:hAnsi="Times New Roman" w:eastAsia="仿宋"/>
          <w:sz w:val="32"/>
          <w:szCs w:val="32"/>
        </w:rPr>
        <w:t>6228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人，统一将数据上传至公卫3.0系统，确保体检数据的真实性与规范性。2023年管理高血压患者</w:t>
      </w:r>
      <w:r>
        <w:rPr>
          <w:rFonts w:hint="eastAsia" w:ascii="Times New Roman" w:hAnsi="Times New Roman" w:eastAsia="仿宋"/>
          <w:sz w:val="32"/>
          <w:szCs w:val="32"/>
        </w:rPr>
        <w:t>8748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人、糖尿病患者</w:t>
      </w:r>
      <w:r>
        <w:rPr>
          <w:rFonts w:hint="eastAsia" w:ascii="Times New Roman" w:hAnsi="Times New Roman" w:eastAsia="仿宋"/>
          <w:sz w:val="32"/>
          <w:szCs w:val="32"/>
        </w:rPr>
        <w:t>3240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人，开展</w:t>
      </w:r>
      <w:r>
        <w:rPr>
          <w:rFonts w:hint="eastAsia" w:ascii="Times New Roman" w:hAnsi="Times New Roman" w:eastAsia="仿宋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次面对面随访。全年65岁以上老年人健康管理率</w:t>
      </w:r>
      <w:r>
        <w:rPr>
          <w:rFonts w:hint="eastAsia" w:ascii="Times New Roman" w:hAnsi="Times New Roman" w:eastAsia="仿宋"/>
          <w:sz w:val="32"/>
          <w:szCs w:val="32"/>
        </w:rPr>
        <w:t>51.26%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，高血压患者规范管理率</w:t>
      </w:r>
      <w:r>
        <w:rPr>
          <w:rFonts w:hint="eastAsia" w:ascii="Times New Roman" w:hAnsi="Times New Roman" w:eastAsia="仿宋"/>
          <w:sz w:val="32"/>
          <w:szCs w:val="32"/>
        </w:rPr>
        <w:t>69.62%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，糖尿病患者规范管理率为</w:t>
      </w:r>
      <w:r>
        <w:rPr>
          <w:rFonts w:hint="eastAsia" w:ascii="Times New Roman" w:hAnsi="Times New Roman" w:eastAsia="仿宋"/>
          <w:sz w:val="32"/>
          <w:szCs w:val="32"/>
        </w:rPr>
        <w:t>70.31%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；对妇幼保健工作人员明确分工，切实落实叶酸发放，产妇随访及体检，产后访视及新生儿访视，0-6岁儿童健康管理</w:t>
      </w:r>
      <w:r>
        <w:rPr>
          <w:rFonts w:hint="eastAsia" w:ascii="Times New Roman" w:hAnsi="Times New Roman" w:eastAsia="仿宋"/>
          <w:sz w:val="32"/>
          <w:szCs w:val="32"/>
        </w:rPr>
        <w:t>4041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人，共管理孕产妇</w:t>
      </w:r>
      <w:r>
        <w:rPr>
          <w:rFonts w:hint="eastAsia" w:ascii="Times New Roman" w:hAnsi="Times New Roman" w:eastAsia="仿宋"/>
          <w:sz w:val="32"/>
          <w:szCs w:val="32"/>
        </w:rPr>
        <w:t>519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人，早孕建册率87.58%，孕产妇管理率</w:t>
      </w:r>
      <w:r>
        <w:rPr>
          <w:rFonts w:hint="eastAsia" w:ascii="Times New Roman" w:hAnsi="Times New Roman" w:eastAsia="仿宋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；利用高血压日、糖尿病日，艾滋病日等各种宣传日进行各类健康讲座，健康咨询，宣传活动等</w:t>
      </w:r>
      <w:r>
        <w:rPr>
          <w:rFonts w:hint="eastAsia" w:ascii="Times New Roman" w:hAnsi="Times New Roman" w:eastAsia="仿宋"/>
          <w:sz w:val="32"/>
          <w:szCs w:val="32"/>
        </w:rPr>
        <w:t>125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次，全年共发放各类健康教育资料</w:t>
      </w:r>
      <w:r>
        <w:rPr>
          <w:rFonts w:hint="eastAsia" w:ascii="Times New Roman" w:hAnsi="Times New Roman" w:eastAsia="仿宋"/>
          <w:sz w:val="32"/>
          <w:szCs w:val="32"/>
        </w:rPr>
        <w:t>38000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余份；全年共管理肺结核患者</w:t>
      </w:r>
      <w:r>
        <w:rPr>
          <w:rFonts w:hint="eastAsia" w:ascii="Times New Roman" w:hAnsi="Times New Roman" w:eastAsia="仿宋"/>
          <w:sz w:val="32"/>
          <w:szCs w:val="32"/>
        </w:rPr>
        <w:t>56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人，管理率</w:t>
      </w:r>
      <w:r>
        <w:rPr>
          <w:rFonts w:hint="eastAsia" w:ascii="Times New Roman" w:hAnsi="Times New Roman" w:eastAsia="仿宋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，严重精神障碍患者</w:t>
      </w:r>
      <w:r>
        <w:rPr>
          <w:rFonts w:hint="eastAsia" w:ascii="Times New Roman" w:hAnsi="Times New Roman" w:eastAsia="仿宋"/>
          <w:sz w:val="32"/>
          <w:szCs w:val="32"/>
        </w:rPr>
        <w:t>423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人，管理率</w:t>
      </w:r>
      <w:r>
        <w:rPr>
          <w:rFonts w:hint="eastAsia" w:ascii="Times New Roman" w:hAnsi="Times New Roman" w:eastAsia="仿宋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。完成计划免疫一类疫苗</w:t>
      </w:r>
      <w:r>
        <w:rPr>
          <w:rFonts w:hint="eastAsia" w:ascii="Times New Roman" w:hAnsi="Times New Roman" w:eastAsia="仿宋"/>
          <w:sz w:val="32"/>
          <w:szCs w:val="32"/>
        </w:rPr>
        <w:t>5135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针次，二类疫苗</w:t>
      </w:r>
      <w:r>
        <w:rPr>
          <w:rFonts w:hint="eastAsia" w:ascii="Times New Roman" w:hAnsi="Times New Roman" w:eastAsia="仿宋"/>
          <w:sz w:val="32"/>
          <w:szCs w:val="32"/>
        </w:rPr>
        <w:t>1108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针次，查验及补种工作，及时完成传染病及死亡人员上报工作，卫生协管人员积极配合卫监局完成每季度学校卫生监督，食品卫生监督，饮用水卫生监督，职业病防治宣传及打击非法行医工作；为脱贫人口建立上门随访联系制度，认真落实乡村振兴政策，针对重点人群，家庭医生团队定期进行不少于4-6次不等的面对面健康随访，宣传医保政策，指导患者进行自我干预，提高健康素养水平，全年共发放相关宣传资料</w:t>
      </w:r>
      <w:r>
        <w:rPr>
          <w:rFonts w:hint="eastAsia" w:ascii="Times New Roman" w:hAnsi="Times New Roman" w:eastAsia="仿宋"/>
          <w:sz w:val="32"/>
          <w:szCs w:val="32"/>
        </w:rPr>
        <w:t>5000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余套。年终公卫绩效考核成绩跃上了新的台阶，达到了第</w:t>
      </w:r>
      <w:r>
        <w:rPr>
          <w:rFonts w:hint="eastAsia" w:ascii="Times New Roman" w:hAnsi="Times New Roman" w:eastAsia="仿宋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名的中等水平，辖区内人民的获得感明显加强。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4.办公室工作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在文书管理方面，认真地做好了文件的收发、登记、传阅、落实工作，做到了收文、发文有记录、传文有痕迹、批文有落实，较好地完成了办公室上传下达的工作。全年共起草各类公文</w:t>
      </w:r>
      <w:r>
        <w:rPr>
          <w:rFonts w:hint="eastAsia" w:ascii="Times New Roman" w:hAnsi="Times New Roman" w:eastAsia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</w:rPr>
        <w:t>余件，收发上级重要文件</w:t>
      </w:r>
      <w:r>
        <w:rPr>
          <w:rFonts w:hint="eastAsia" w:ascii="Times New Roman" w:hAnsi="Times New Roman" w:eastAsia="仿宋"/>
          <w:sz w:val="32"/>
          <w:szCs w:val="32"/>
        </w:rPr>
        <w:t>73</w:t>
      </w:r>
      <w:r>
        <w:rPr>
          <w:rFonts w:hint="eastAsia" w:ascii="仿宋" w:hAnsi="仿宋" w:eastAsia="仿宋" w:cs="仿宋"/>
          <w:sz w:val="32"/>
        </w:rPr>
        <w:t>件；组织各级各类会议、培训</w:t>
      </w:r>
      <w:r>
        <w:rPr>
          <w:rFonts w:hint="eastAsia" w:ascii="Times New Roman" w:hAnsi="Times New Roman" w:eastAsia="仿宋"/>
          <w:sz w:val="32"/>
          <w:szCs w:val="32"/>
        </w:rPr>
        <w:t>50</w:t>
      </w:r>
      <w:r>
        <w:rPr>
          <w:rFonts w:hint="eastAsia" w:ascii="仿宋" w:hAnsi="仿宋" w:eastAsia="仿宋" w:cs="仿宋"/>
          <w:sz w:val="32"/>
        </w:rPr>
        <w:t>余次；</w:t>
      </w:r>
      <w:r>
        <w:rPr>
          <w:rFonts w:hint="eastAsia" w:ascii="仿宋" w:hAnsi="仿宋" w:eastAsia="仿宋" w:cs="仿宋"/>
          <w:sz w:val="32"/>
          <w:szCs w:val="32"/>
        </w:rPr>
        <w:t>出版宣传栏</w:t>
      </w:r>
      <w:r>
        <w:rPr>
          <w:rFonts w:hint="eastAsia" w:ascii="Times New Roman" w:hAnsi="Times New Roman" w:eastAsia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hint="eastAsia" w:ascii="Times New Roman" w:hAnsi="Times New Roman" w:eastAsia="仿宋"/>
          <w:sz w:val="32"/>
          <w:szCs w:val="32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版，</w:t>
      </w:r>
      <w:r>
        <w:rPr>
          <w:rFonts w:hint="eastAsia" w:ascii="仿宋" w:hAnsi="仿宋" w:eastAsia="仿宋" w:cs="仿宋"/>
          <w:sz w:val="32"/>
        </w:rPr>
        <w:t>将医院的工作动态、职工的良好精神风貌及时展示给外界，使医院信息成为了医院的一扇窗口、一张名片，对医院工作进行宣传。宣传栏内容及时更新，宣传和推介我院各方面的发展情况，通过这些宣传，既提高了职工的爱岗敬院意识，也提高了患者及社会对我院的了解和认知。努力做好接待工作，树立医院良好的社会形象。</w:t>
      </w:r>
    </w:p>
    <w:p>
      <w:pPr>
        <w:spacing w:line="580" w:lineRule="exact"/>
        <w:ind w:right="530" w:rightChars="241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7"/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本系统2023年决算：一般公共预算支出合计1839.96万元，其中一般公共预算基本支出1525.75万元。基本支出中包含工资福利支出，商品和服务支出，对个人和家庭的补助，资本性支出等。</w:t>
      </w:r>
    </w:p>
    <w:p>
      <w:pPr>
        <w:pStyle w:val="7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7"/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项目支出314.21万元。项目支出中包含工资福利支出，商品和服务支出，对个人和家庭的补助，资本性支出等。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本系统无政府性基金预算支出。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7"/>
        <w:spacing w:line="60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本系统无国有资本经营预算支出。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7"/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本系统无社会保险基金预算支出。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本系统2023年的主要工作目标：日常医疗工作，基本公共卫生服务工作,家庭医生签约服务;强化卫生应急，传染病防治，慢性病防治，做好职业健康结合; 推动医养结合事业快速发展, 建立整合型老年健康服务体系，对老年乡村医生发放生活困难补助; 健全工作网络; 构建医院与基层医疗机构联合帮扶模式; 药品平台监督；打击非法行医和无证行医开展日常巡查制；互联网+政务服务”“证照分离”；医疗机构、公共场所、饮用水安全、传染病防治、学校卫生、放射卫生监督检查，及时发布相关信息；对重大案件的督导检查、挂牌督办；深入开展爱国卫生运动。我系统已经较好的完成了上述工作。预算资金通过预算一体化系统及时拨付到各项目实施单位，在为百姓提供卫生健康保障的同时还减少了医疗成本。提高了居民的意识，逐步树立居民自我健康管理的理念。满足居民的日常医疗及公共卫生服务要求，争取打造一条医疗卫生健康可持续发展的绿色道路。</w:t>
      </w:r>
    </w:p>
    <w:p>
      <w:pPr>
        <w:pStyle w:val="7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spacing w:line="580" w:lineRule="exact"/>
        <w:ind w:left="438" w:leftChars="199" w:right="530" w:rightChars="241"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内控制度需进一步完善，随着资金管理改革的进一步推进，我单位内部机构进行了相应的优化，建立健全了财务管理制度、固定资产管理制度、费用报销规程等制度，但仍需进一步强化财务约束监督体制。</w:t>
      </w:r>
    </w:p>
    <w:p>
      <w:pPr>
        <w:spacing w:line="580" w:lineRule="exact"/>
        <w:ind w:left="438" w:leftChars="199" w:right="530" w:rightChars="241"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缺乏高水平专业人才，人才队伍水平参差不齐。大部分管理工作除制定管理规定、下达分配资金、开展财务核算以及应付日常监督检查外，对资金如何发挥政策的效用，绩效考核的激励作用不显著，对如何提高资金的使用绩效等问题缺乏深层次研究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spacing w:line="580" w:lineRule="exact"/>
        <w:ind w:left="438" w:leftChars="199" w:right="530" w:rightChars="241"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不断健全和完善资金拨付、使用管理的各项规章制度，做到每拨付一笔资金都由经手、验收、会计、主管领导、单位负责人，以及经济业务层层审核把关，最后由主管财务领导签字拨付，使资金使用有章可循、有据可查，确保资金安全。建立健全各项财政专项管理制度，完善内部管理制度，优化各类经济业务的流程，为提高财政资金的使用效率提供有效保证。</w:t>
      </w:r>
    </w:p>
    <w:p>
      <w:pPr>
        <w:spacing w:line="580" w:lineRule="exact"/>
        <w:ind w:left="438" w:leftChars="199" w:right="530" w:rightChars="241"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年初预算编制时更加全面、细致化；科学合理编制预算，严格执行预算。加强预算编制的前瞻性，按照新《预算法》及其实施条例的相关规定，按政策规定及本部门的发展规划，结合上一年度预算执行情况和本年度预算收支变化因素，科学、合理地编制本年预算草案，避免预算支出与实际执行出现较大偏差的情况，执行中确需调剂预算的，按规定程序报经批准。</w:t>
      </w:r>
    </w:p>
    <w:p>
      <w:pPr>
        <w:spacing w:line="580" w:lineRule="exact"/>
        <w:ind w:left="438" w:leftChars="199" w:right="530" w:rightChars="241"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3.提高资金使用率，加快支付流程，避免年底积压。</w:t>
      </w:r>
    </w:p>
    <w:p>
      <w:pPr>
        <w:spacing w:line="580" w:lineRule="exact"/>
        <w:ind w:left="438" w:leftChars="199" w:right="530" w:rightChars="241"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4.加强人才队伍建设，力争做出能吸引人才、培养人才、留得住人才的长远规划。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pStyle w:val="7"/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严格按照预决算公开的要求将今年的数据向社会公开。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>
      <w:pPr>
        <w:pStyle w:val="4"/>
        <w:wordWrap w:val="0"/>
        <w:ind w:firstLine="0" w:firstLineChars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沅江市阳罗洲镇中心卫生院    </w:t>
      </w:r>
    </w:p>
    <w:p>
      <w:pPr>
        <w:pStyle w:val="2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2024年5月13日</w:t>
      </w: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C6E6"/>
    <w:multiLevelType w:val="singleLevel"/>
    <w:tmpl w:val="BFFDC6E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E9E9CD"/>
    <w:multiLevelType w:val="singleLevel"/>
    <w:tmpl w:val="77E9E9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VmZGI4NmVlOWVjN2VlODhiZjZiNTc1OTVjYjg0ZGEifQ=="/>
  </w:docVars>
  <w:rsids>
    <w:rsidRoot w:val="00D31D50"/>
    <w:rsid w:val="0005194A"/>
    <w:rsid w:val="00323B43"/>
    <w:rsid w:val="003D37D8"/>
    <w:rsid w:val="00426133"/>
    <w:rsid w:val="004358AB"/>
    <w:rsid w:val="008B7726"/>
    <w:rsid w:val="00A520EA"/>
    <w:rsid w:val="00D31D50"/>
    <w:rsid w:val="062B0931"/>
    <w:rsid w:val="EFBBF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widowControl w:val="0"/>
      <w:adjustRightInd/>
      <w:snapToGrid/>
      <w:spacing w:after="12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Title"/>
    <w:basedOn w:val="1"/>
    <w:next w:val="1"/>
    <w:link w:val="8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4">
    <w:name w:val="Body Text First Indent"/>
    <w:basedOn w:val="2"/>
    <w:next w:val="2"/>
    <w:link w:val="10"/>
    <w:semiHidden/>
    <w:qFormat/>
    <w:uiPriority w:val="99"/>
    <w:pPr>
      <w:ind w:firstLine="420" w:firstLineChars="100"/>
    </w:pPr>
  </w:style>
  <w:style w:type="paragraph" w:styleId="7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8">
    <w:name w:val="标题 Char"/>
    <w:basedOn w:val="6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0">
    <w:name w:val="正文首行缩进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3260</Words>
  <Characters>3447</Characters>
  <Lines>25</Lines>
  <Paragraphs>7</Paragraphs>
  <TotalTime>4</TotalTime>
  <ScaleCrop>false</ScaleCrop>
  <LinksUpToDate>false</LinksUpToDate>
  <CharactersWithSpaces>3466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YMDL</cp:lastModifiedBy>
  <dcterms:modified xsi:type="dcterms:W3CDTF">2025-09-08T09:20:45Z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7E48EAEF91FD4647BB30CEF512EF7DA8_12</vt:lpwstr>
  </property>
</Properties>
</file>