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CA691">
      <w:pPr>
        <w:rPr>
          <w:rFonts w:ascii="仿宋_GB2312" w:eastAsia="仿宋_GB2312"/>
          <w:color w:val="000000"/>
          <w:sz w:val="32"/>
          <w:szCs w:val="32"/>
        </w:rPr>
      </w:pPr>
      <w:r>
        <w:rPr>
          <w:rFonts w:hint="eastAsia" w:ascii="仿宋_GB2312" w:eastAsia="仿宋_GB2312"/>
          <w:color w:val="000000"/>
          <w:sz w:val="32"/>
          <w:szCs w:val="32"/>
        </w:rPr>
        <w:t>附件1</w:t>
      </w:r>
    </w:p>
    <w:p w14:paraId="1DD9A8DB">
      <w:pPr>
        <w:pStyle w:val="5"/>
        <w:adjustRightInd/>
        <w:spacing w:after="120" w:line="740" w:lineRule="exact"/>
        <w:jc w:val="center"/>
        <w:textAlignment w:val="auto"/>
        <w:rPr>
          <w:rFonts w:eastAsia="方正小标宋简体" w:cs="方正小标宋简体"/>
          <w:color w:val="000000"/>
          <w:kern w:val="0"/>
          <w:sz w:val="52"/>
          <w:szCs w:val="52"/>
        </w:rPr>
      </w:pPr>
      <w:r>
        <w:rPr>
          <w:rFonts w:hint="eastAsia" w:eastAsia="方正小标宋简体" w:cs="方正小标宋简体"/>
          <w:kern w:val="0"/>
          <w:sz w:val="52"/>
          <w:szCs w:val="52"/>
        </w:rPr>
        <w:t>202</w:t>
      </w:r>
      <w:r>
        <w:rPr>
          <w:rFonts w:hint="eastAsia" w:eastAsia="方正小标宋简体" w:cs="方正小标宋简体"/>
          <w:kern w:val="0"/>
          <w:sz w:val="52"/>
          <w:szCs w:val="52"/>
          <w:lang w:val="en-US" w:eastAsia="zh-CN"/>
        </w:rPr>
        <w:t>4</w:t>
      </w:r>
      <w:r>
        <w:rPr>
          <w:rFonts w:hint="eastAsia" w:eastAsia="方正小标宋简体" w:cs="方正小标宋简体"/>
          <w:color w:val="000000"/>
          <w:kern w:val="0"/>
          <w:sz w:val="52"/>
          <w:szCs w:val="52"/>
        </w:rPr>
        <w:t>年度行政事业单位</w:t>
      </w:r>
    </w:p>
    <w:p w14:paraId="591AD067">
      <w:pPr>
        <w:pStyle w:val="5"/>
        <w:adjustRightInd/>
        <w:spacing w:after="120" w:line="740" w:lineRule="exact"/>
        <w:jc w:val="center"/>
        <w:textAlignment w:val="auto"/>
        <w:rPr>
          <w:rFonts w:eastAsia="方正小标宋简体" w:cs="方正小标宋简体"/>
          <w:color w:val="000000"/>
          <w:kern w:val="0"/>
          <w:sz w:val="52"/>
          <w:szCs w:val="52"/>
        </w:rPr>
      </w:pPr>
      <w:r>
        <w:rPr>
          <w:rFonts w:hint="eastAsia" w:eastAsia="方正小标宋简体" w:cs="方正小标宋简体"/>
          <w:color w:val="000000"/>
          <w:kern w:val="0"/>
          <w:sz w:val="52"/>
          <w:szCs w:val="52"/>
        </w:rPr>
        <w:t>内部控制报告</w:t>
      </w:r>
    </w:p>
    <w:p w14:paraId="61ABDF15">
      <w:pPr>
        <w:jc w:val="center"/>
        <w:rPr>
          <w:rFonts w:ascii="黑体" w:eastAsia="黑体"/>
          <w:b/>
          <w:sz w:val="24"/>
        </w:rPr>
      </w:pPr>
    </w:p>
    <w:p w14:paraId="151523D3">
      <w:pPr>
        <w:jc w:val="center"/>
        <w:rPr>
          <w:rFonts w:ascii="黑体" w:eastAsia="黑体"/>
          <w:b/>
          <w:sz w:val="24"/>
        </w:rPr>
      </w:pPr>
    </w:p>
    <w:p w14:paraId="2AEE72B6">
      <w:pPr>
        <w:spacing w:line="480" w:lineRule="exact"/>
        <w:jc w:val="center"/>
        <w:outlineLvl w:val="0"/>
        <w:rPr>
          <w:rFonts w:hint="eastAsia" w:ascii="仿宋_GB2312" w:eastAsia="仿宋_GB2312"/>
          <w:sz w:val="32"/>
          <w:szCs w:val="32"/>
        </w:rPr>
      </w:pPr>
      <w:r>
        <w:rPr>
          <w:rFonts w:hint="eastAsia" w:ascii="仿宋_GB2312" w:eastAsia="仿宋_GB2312"/>
          <w:sz w:val="32"/>
          <w:szCs w:val="32"/>
        </w:rPr>
        <w:t>(单位公章)</w:t>
      </w:r>
    </w:p>
    <w:p w14:paraId="12DCCBA7">
      <w:pPr>
        <w:spacing w:line="480" w:lineRule="exact"/>
        <w:jc w:val="center"/>
        <w:rPr>
          <w:rFonts w:hint="eastAsia" w:ascii="仿宋_GB2312" w:eastAsia="仿宋_GB2312"/>
          <w:sz w:val="32"/>
          <w:szCs w:val="32"/>
          <w:lang w:eastAsia="zh-CN"/>
        </w:rPr>
      </w:pPr>
    </w:p>
    <w:p w14:paraId="1855F6D1">
      <w:pPr>
        <w:keepNext w:val="0"/>
        <w:keepLines/>
        <w:pageBreakBefore w:val="0"/>
        <w:widowControl w:val="0"/>
        <w:kinsoku/>
        <w:wordWrap/>
        <w:overflowPunct/>
        <w:topLinePunct w:val="0"/>
        <w:autoSpaceDE/>
        <w:autoSpaceDN/>
        <w:bidi w:val="0"/>
        <w:adjustRightInd/>
        <w:snapToGrid/>
        <w:spacing w:line="480" w:lineRule="exact"/>
        <w:ind w:left="1259" w:firstLine="420"/>
        <w:jc w:val="left"/>
        <w:textAlignment w:val="auto"/>
        <w:rPr>
          <w:rFonts w:ascii="仿宋_GB2312" w:eastAsia="仿宋_GB2312"/>
          <w:sz w:val="32"/>
          <w:szCs w:val="32"/>
          <w:u w:val="single"/>
        </w:rPr>
      </w:pPr>
      <w:r>
        <w:rPr>
          <w:rFonts w:hint="eastAsia" w:ascii="仿宋_GB2312" w:eastAsia="仿宋_GB2312"/>
          <w:sz w:val="32"/>
          <w:szCs w:val="32"/>
        </w:rPr>
        <w:t>单 位 名 称:</w:t>
      </w:r>
      <w:r>
        <w:rPr>
          <w:rFonts w:hint="eastAsia" w:ascii="仿宋_GB2312" w:eastAsia="仿宋_GB2312"/>
          <w:sz w:val="32"/>
          <w:szCs w:val="32"/>
          <w:u w:val="single"/>
        </w:rPr>
        <w:t>沅江市公安局交通警察大队</w:t>
      </w:r>
    </w:p>
    <w:p w14:paraId="1B21511E">
      <w:pPr>
        <w:keepNext w:val="0"/>
        <w:keepLines/>
        <w:pageBreakBefore w:val="0"/>
        <w:widowControl w:val="0"/>
        <w:kinsoku/>
        <w:wordWrap/>
        <w:overflowPunct/>
        <w:topLinePunct w:val="0"/>
        <w:autoSpaceDE/>
        <w:autoSpaceDN/>
        <w:bidi w:val="0"/>
        <w:adjustRightInd/>
        <w:snapToGrid/>
        <w:spacing w:line="480" w:lineRule="exact"/>
        <w:ind w:left="1259" w:firstLine="420"/>
        <w:jc w:val="left"/>
        <w:textAlignment w:val="auto"/>
        <w:rPr>
          <w:rFonts w:ascii="仿宋_GB2312" w:eastAsia="仿宋_GB2312"/>
          <w:sz w:val="32"/>
          <w:szCs w:val="32"/>
          <w:u w:val="single"/>
        </w:rPr>
      </w:pPr>
      <w:r>
        <w:rPr>
          <w:rFonts w:hint="eastAsia" w:ascii="仿宋_GB2312" w:eastAsia="仿宋_GB2312"/>
          <w:sz w:val="32"/>
          <w:szCs w:val="32"/>
        </w:rPr>
        <w:t>单 位 负 责 人:</w:t>
      </w:r>
      <w:r>
        <w:rPr>
          <w:rFonts w:hint="eastAsia" w:ascii="仿宋_GB2312" w:eastAsia="仿宋_GB2312"/>
          <w:sz w:val="32"/>
          <w:szCs w:val="32"/>
          <w:u w:val="single"/>
          <w:lang w:val="en-US" w:eastAsia="zh-CN"/>
        </w:rPr>
        <w:t>杨灿华</w:t>
      </w:r>
      <w:r>
        <w:rPr>
          <w:rFonts w:hint="eastAsia" w:ascii="仿宋_GB2312" w:eastAsia="仿宋_GB2312"/>
          <w:sz w:val="32"/>
          <w:szCs w:val="32"/>
          <w:u w:val="single"/>
        </w:rPr>
        <w:t>(签章)</w:t>
      </w:r>
    </w:p>
    <w:p w14:paraId="5BDF2215">
      <w:pPr>
        <w:keepNext w:val="0"/>
        <w:keepLines/>
        <w:pageBreakBefore w:val="0"/>
        <w:widowControl w:val="0"/>
        <w:kinsoku/>
        <w:wordWrap/>
        <w:overflowPunct/>
        <w:topLinePunct w:val="0"/>
        <w:autoSpaceDE/>
        <w:autoSpaceDN/>
        <w:bidi w:val="0"/>
        <w:adjustRightInd/>
        <w:snapToGrid/>
        <w:spacing w:line="480" w:lineRule="exact"/>
        <w:ind w:left="1259" w:firstLine="420"/>
        <w:jc w:val="left"/>
        <w:textAlignment w:val="auto"/>
        <w:rPr>
          <w:rFonts w:ascii="仿宋_GB2312" w:eastAsia="仿宋_GB2312"/>
          <w:sz w:val="32"/>
          <w:szCs w:val="32"/>
        </w:rPr>
      </w:pPr>
      <w:r>
        <w:rPr>
          <w:rFonts w:hint="eastAsia" w:ascii="仿宋_GB2312" w:eastAsia="仿宋_GB2312"/>
          <w:sz w:val="32"/>
          <w:szCs w:val="32"/>
        </w:rPr>
        <w:t>分管内控负责人: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吴柏军</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(签章)</w:t>
      </w:r>
    </w:p>
    <w:p w14:paraId="0BEEE94C">
      <w:pPr>
        <w:keepNext w:val="0"/>
        <w:keepLines/>
        <w:pageBreakBefore w:val="0"/>
        <w:widowControl w:val="0"/>
        <w:kinsoku/>
        <w:wordWrap/>
        <w:overflowPunct/>
        <w:topLinePunct w:val="0"/>
        <w:autoSpaceDE/>
        <w:autoSpaceDN/>
        <w:bidi w:val="0"/>
        <w:adjustRightInd/>
        <w:snapToGrid/>
        <w:spacing w:line="480" w:lineRule="exact"/>
        <w:ind w:left="1259" w:firstLine="420"/>
        <w:jc w:val="left"/>
        <w:textAlignment w:val="auto"/>
        <w:rPr>
          <w:rFonts w:ascii="仿宋_GB2312" w:eastAsia="仿宋_GB2312"/>
          <w:sz w:val="32"/>
          <w:szCs w:val="32"/>
        </w:rPr>
      </w:pPr>
      <w:r>
        <w:rPr>
          <w:rFonts w:hint="eastAsia" w:ascii="仿宋_GB2312" w:eastAsia="仿宋_GB2312"/>
          <w:sz w:val="32"/>
          <w:szCs w:val="32"/>
        </w:rPr>
        <w:t>牵头部门负责人: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钟双剑</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(签章)</w:t>
      </w:r>
    </w:p>
    <w:p w14:paraId="15E3ADA9">
      <w:pPr>
        <w:keepNext w:val="0"/>
        <w:keepLines/>
        <w:pageBreakBefore w:val="0"/>
        <w:widowControl w:val="0"/>
        <w:kinsoku/>
        <w:wordWrap/>
        <w:overflowPunct/>
        <w:topLinePunct w:val="0"/>
        <w:autoSpaceDE/>
        <w:autoSpaceDN/>
        <w:bidi w:val="0"/>
        <w:adjustRightInd/>
        <w:snapToGrid/>
        <w:spacing w:line="480" w:lineRule="exact"/>
        <w:ind w:left="1259" w:firstLine="420"/>
        <w:jc w:val="left"/>
        <w:textAlignment w:val="auto"/>
        <w:rPr>
          <w:rFonts w:ascii="仿宋_GB2312" w:eastAsia="仿宋_GB2312"/>
          <w:sz w:val="32"/>
          <w:szCs w:val="32"/>
          <w:u w:val="single"/>
        </w:rPr>
      </w:pPr>
      <w:r>
        <w:rPr>
          <w:rFonts w:hint="eastAsia" w:ascii="仿宋_GB2312" w:eastAsia="仿宋_GB2312"/>
          <w:sz w:val="32"/>
          <w:szCs w:val="32"/>
        </w:rPr>
        <w:t>填   表  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李亦扬</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(签章)</w:t>
      </w:r>
    </w:p>
    <w:p w14:paraId="49F67EC0">
      <w:pPr>
        <w:keepNext w:val="0"/>
        <w:keepLines/>
        <w:pageBreakBefore w:val="0"/>
        <w:widowControl w:val="0"/>
        <w:kinsoku/>
        <w:wordWrap/>
        <w:overflowPunct/>
        <w:topLinePunct w:val="0"/>
        <w:autoSpaceDE/>
        <w:autoSpaceDN/>
        <w:bidi w:val="0"/>
        <w:adjustRightInd/>
        <w:snapToGrid/>
        <w:spacing w:line="480" w:lineRule="exact"/>
        <w:ind w:left="1259" w:firstLine="420"/>
        <w:jc w:val="left"/>
        <w:textAlignment w:val="auto"/>
        <w:rPr>
          <w:rFonts w:ascii="仿宋_GB2312" w:eastAsia="仿宋_GB2312"/>
          <w:sz w:val="32"/>
          <w:szCs w:val="32"/>
          <w:u w:val="single"/>
        </w:rPr>
      </w:pPr>
      <w:r>
        <w:rPr>
          <w:rFonts w:hint="eastAsia" w:ascii="仿宋_GB2312" w:eastAsia="仿宋_GB2312"/>
          <w:sz w:val="32"/>
          <w:szCs w:val="32"/>
        </w:rPr>
        <w:t>填 表 部 门:</w:t>
      </w:r>
      <w:r>
        <w:rPr>
          <w:rFonts w:hint="eastAsia" w:ascii="仿宋_GB2312" w:eastAsia="仿宋_GB2312"/>
          <w:sz w:val="32"/>
          <w:szCs w:val="32"/>
          <w:u w:val="single"/>
          <w:lang w:val="en-US" w:eastAsia="zh-CN"/>
        </w:rPr>
        <w:t xml:space="preserve"> </w:t>
      </w:r>
      <w:r>
        <w:rPr>
          <w:rFonts w:hint="eastAsia" w:ascii="仿宋" w:hAnsi="仿宋" w:eastAsia="仿宋"/>
          <w:color w:val="000000" w:themeColor="text1"/>
          <w:sz w:val="32"/>
          <w:szCs w:val="32"/>
          <w:u w:val="single"/>
          <w14:textFill>
            <w14:solidFill>
              <w14:schemeClr w14:val="tx1"/>
            </w14:solidFill>
          </w14:textFill>
        </w:rPr>
        <w:t>沅江市公安局交通警察大</w:t>
      </w:r>
      <w:bookmarkStart w:id="0" w:name="_GoBack"/>
      <w:bookmarkEnd w:id="0"/>
      <w:r>
        <w:rPr>
          <w:rFonts w:hint="eastAsia" w:ascii="仿宋" w:hAnsi="仿宋" w:eastAsia="仿宋"/>
          <w:color w:val="000000" w:themeColor="text1"/>
          <w:sz w:val="32"/>
          <w:szCs w:val="32"/>
          <w:u w:val="single"/>
          <w14:textFill>
            <w14:solidFill>
              <w14:schemeClr w14:val="tx1"/>
            </w14:solidFill>
          </w14:textFill>
        </w:rPr>
        <w:t>队</w:t>
      </w:r>
    </w:p>
    <w:p w14:paraId="714B3EBA">
      <w:pPr>
        <w:keepNext w:val="0"/>
        <w:keepLines/>
        <w:pageBreakBefore w:val="0"/>
        <w:widowControl w:val="0"/>
        <w:kinsoku/>
        <w:wordWrap/>
        <w:overflowPunct/>
        <w:topLinePunct w:val="0"/>
        <w:autoSpaceDE/>
        <w:autoSpaceDN/>
        <w:bidi w:val="0"/>
        <w:adjustRightInd/>
        <w:snapToGrid/>
        <w:spacing w:line="480" w:lineRule="exact"/>
        <w:ind w:left="1259" w:firstLine="420"/>
        <w:jc w:val="left"/>
        <w:textAlignment w:val="auto"/>
        <w:rPr>
          <w:rFonts w:ascii="仿宋_GB2312" w:eastAsia="仿宋_GB2312"/>
          <w:sz w:val="32"/>
          <w:szCs w:val="32"/>
          <w:u w:val="single"/>
        </w:rPr>
      </w:pPr>
      <w:r>
        <w:rPr>
          <w:rFonts w:hint="eastAsia" w:ascii="仿宋_GB2312" w:eastAsia="仿宋_GB2312"/>
          <w:sz w:val="32"/>
          <w:szCs w:val="32"/>
        </w:rPr>
        <w:t>电 话 号 码:</w:t>
      </w:r>
      <w:r>
        <w:rPr>
          <w:rFonts w:hint="eastAsia" w:ascii="仿宋_GB2312" w:eastAsia="仿宋_GB2312"/>
          <w:sz w:val="32"/>
          <w:szCs w:val="32"/>
          <w:u w:val="single"/>
          <w:lang w:val="en-US" w:eastAsia="zh-CN"/>
        </w:rPr>
        <w:t xml:space="preserve"> </w:t>
      </w:r>
      <w:r>
        <w:rPr>
          <w:rFonts w:hint="eastAsia" w:ascii="仿宋" w:hAnsi="仿宋" w:eastAsia="仿宋"/>
          <w:color w:val="000000" w:themeColor="text1"/>
          <w:sz w:val="32"/>
          <w:szCs w:val="32"/>
          <w:u w:val="single"/>
          <w14:textFill>
            <w14:solidFill>
              <w14:schemeClr w14:val="tx1"/>
            </w14:solidFill>
          </w14:textFill>
        </w:rPr>
        <w:t>15273703686</w:t>
      </w:r>
    </w:p>
    <w:p w14:paraId="2BDDDDB3">
      <w:pPr>
        <w:keepNext w:val="0"/>
        <w:keepLines/>
        <w:pageBreakBefore w:val="0"/>
        <w:widowControl w:val="0"/>
        <w:kinsoku/>
        <w:wordWrap/>
        <w:overflowPunct/>
        <w:topLinePunct w:val="0"/>
        <w:autoSpaceDE/>
        <w:autoSpaceDN/>
        <w:bidi w:val="0"/>
        <w:adjustRightInd/>
        <w:snapToGrid/>
        <w:spacing w:line="480" w:lineRule="exact"/>
        <w:ind w:left="1259" w:firstLine="420"/>
        <w:jc w:val="left"/>
        <w:textAlignment w:val="auto"/>
        <w:rPr>
          <w:rFonts w:hint="eastAsia" w:ascii="仿宋" w:hAnsi="仿宋" w:eastAsia="仿宋"/>
          <w:color w:val="000000" w:themeColor="text1"/>
          <w:sz w:val="32"/>
          <w:szCs w:val="32"/>
          <w:u w:val="single"/>
          <w14:textFill>
            <w14:solidFill>
              <w14:schemeClr w14:val="tx1"/>
            </w14:solidFill>
          </w14:textFill>
        </w:rPr>
      </w:pPr>
      <w:r>
        <w:rPr>
          <w:rFonts w:hint="eastAsia" w:ascii="仿宋_GB2312" w:eastAsia="仿宋_GB2312"/>
          <w:sz w:val="32"/>
          <w:szCs w:val="32"/>
        </w:rPr>
        <w:t>单 位 地 址:</w:t>
      </w:r>
      <w:r>
        <w:rPr>
          <w:rFonts w:hint="eastAsia" w:ascii="仿宋" w:hAnsi="仿宋" w:eastAsia="仿宋"/>
          <w:color w:val="000000" w:themeColor="text1"/>
          <w:sz w:val="32"/>
          <w:szCs w:val="32"/>
          <w:u w:val="single"/>
          <w14:textFill>
            <w14:solidFill>
              <w14:schemeClr w14:val="tx1"/>
            </w14:solidFill>
          </w14:textFill>
        </w:rPr>
        <w:t>沅江市跑马岭路147号</w:t>
      </w:r>
    </w:p>
    <w:p w14:paraId="79DD953E">
      <w:pPr>
        <w:keepNext w:val="0"/>
        <w:keepLines/>
        <w:pageBreakBefore w:val="0"/>
        <w:widowControl w:val="0"/>
        <w:kinsoku/>
        <w:wordWrap/>
        <w:overflowPunct/>
        <w:topLinePunct w:val="0"/>
        <w:autoSpaceDE/>
        <w:autoSpaceDN/>
        <w:bidi w:val="0"/>
        <w:adjustRightInd/>
        <w:snapToGrid/>
        <w:spacing w:line="480" w:lineRule="exact"/>
        <w:ind w:left="1259" w:firstLine="420"/>
        <w:jc w:val="left"/>
        <w:textAlignment w:val="auto"/>
        <w:rPr>
          <w:rFonts w:hint="eastAsia" w:ascii="仿宋" w:hAnsi="仿宋" w:eastAsia="仿宋"/>
          <w:color w:val="000000" w:themeColor="text1"/>
          <w:sz w:val="32"/>
          <w:szCs w:val="32"/>
          <w:u w:val="single"/>
          <w14:textFill>
            <w14:solidFill>
              <w14:schemeClr w14:val="tx1"/>
            </w14:solidFill>
          </w14:textFill>
        </w:rPr>
      </w:pPr>
      <w:r>
        <w:rPr>
          <w:rFonts w:hint="eastAsia" w:ascii="仿宋_GB2312" w:eastAsia="仿宋_GB2312"/>
          <w:sz w:val="32"/>
          <w:szCs w:val="32"/>
        </w:rPr>
        <w:t>邮 政 编 码:</w:t>
      </w:r>
      <w:r>
        <w:rPr>
          <w:rFonts w:hint="eastAsia" w:ascii="仿宋" w:hAnsi="仿宋" w:eastAsia="仿宋"/>
          <w:color w:val="000000" w:themeColor="text1"/>
          <w:sz w:val="32"/>
          <w:szCs w:val="32"/>
          <w:u w:val="single"/>
          <w14:textFill>
            <w14:solidFill>
              <w14:schemeClr w14:val="tx1"/>
            </w14:solidFill>
          </w14:textFill>
        </w:rPr>
        <w:t>413000</w:t>
      </w:r>
    </w:p>
    <w:p w14:paraId="35FB21AF">
      <w:pPr>
        <w:keepNext w:val="0"/>
        <w:keepLines/>
        <w:pageBreakBefore w:val="0"/>
        <w:widowControl w:val="0"/>
        <w:kinsoku/>
        <w:wordWrap/>
        <w:overflowPunct/>
        <w:topLinePunct w:val="0"/>
        <w:autoSpaceDE/>
        <w:autoSpaceDN/>
        <w:bidi w:val="0"/>
        <w:adjustRightInd/>
        <w:snapToGrid/>
        <w:spacing w:line="480" w:lineRule="exact"/>
        <w:ind w:left="1259" w:firstLine="420"/>
        <w:jc w:val="left"/>
        <w:textAlignment w:val="auto"/>
        <w:rPr>
          <w:rFonts w:hint="eastAsia" w:ascii="仿宋" w:hAnsi="仿宋" w:eastAsia="仿宋"/>
          <w:color w:val="000000" w:themeColor="text1"/>
          <w:sz w:val="32"/>
          <w:szCs w:val="32"/>
          <w:u w:val="single"/>
          <w14:textFill>
            <w14:solidFill>
              <w14:schemeClr w14:val="tx1"/>
            </w14:solidFill>
          </w14:textFill>
        </w:rPr>
      </w:pPr>
      <w:r>
        <w:rPr>
          <w:rFonts w:hint="eastAsia" w:ascii="仿宋_GB2312" w:eastAsia="仿宋_GB2312"/>
          <w:sz w:val="32"/>
          <w:szCs w:val="32"/>
          <w:lang w:val="en-US" w:eastAsia="zh-CN"/>
        </w:rPr>
        <w:t>报 送 日 期</w:t>
      </w:r>
      <w:r>
        <w:rPr>
          <w:rFonts w:hint="eastAsia" w:ascii="仿宋_GB2312" w:eastAsia="仿宋_GB2312"/>
          <w:sz w:val="32"/>
          <w:szCs w:val="32"/>
        </w:rPr>
        <w:t>:</w:t>
      </w:r>
      <w:r>
        <w:rPr>
          <w:rFonts w:hint="eastAsia" w:ascii="仿宋" w:hAnsi="仿宋" w:eastAsia="仿宋"/>
          <w:color w:val="000000" w:themeColor="text1"/>
          <w:sz w:val="32"/>
          <w:szCs w:val="32"/>
          <w:u w:val="single"/>
          <w:lang w:val="en-US" w:eastAsia="zh-CN"/>
          <w14:textFill>
            <w14:solidFill>
              <w14:schemeClr w14:val="tx1"/>
            </w14:solidFill>
          </w14:textFill>
        </w:rPr>
        <w:t xml:space="preserve"> </w:t>
      </w:r>
      <w:r>
        <w:rPr>
          <w:rFonts w:ascii="仿宋_GB2312" w:eastAsia="仿宋_GB2312"/>
          <w:color w:val="000000"/>
          <w:sz w:val="32"/>
          <w:szCs w:val="32"/>
          <w:u w:val="single"/>
        </w:rPr>
        <w:t>2025</w:t>
      </w:r>
      <w:r>
        <w:rPr>
          <w:rFonts w:hint="eastAsia" w:ascii="仿宋_GB2312" w:eastAsia="仿宋_GB2312"/>
          <w:color w:val="000000"/>
          <w:sz w:val="32"/>
          <w:szCs w:val="32"/>
          <w:u w:val="single"/>
        </w:rPr>
        <w:t>年</w:t>
      </w:r>
      <w:r>
        <w:rPr>
          <w:rFonts w:ascii="仿宋_GB2312" w:eastAsia="仿宋_GB2312"/>
          <w:color w:val="000000"/>
          <w:sz w:val="32"/>
          <w:szCs w:val="32"/>
          <w:u w:val="single"/>
        </w:rPr>
        <w:t>4</w:t>
      </w:r>
      <w:r>
        <w:rPr>
          <w:rFonts w:hint="eastAsia" w:ascii="仿宋_GB2312" w:eastAsia="仿宋_GB2312"/>
          <w:color w:val="000000"/>
          <w:sz w:val="32"/>
          <w:szCs w:val="32"/>
          <w:u w:val="single"/>
        </w:rPr>
        <w:t>月</w:t>
      </w:r>
      <w:r>
        <w:rPr>
          <w:rFonts w:ascii="仿宋_GB2312" w:eastAsia="仿宋_GB2312"/>
          <w:color w:val="000000"/>
          <w:sz w:val="32"/>
          <w:szCs w:val="32"/>
          <w:u w:val="single"/>
        </w:rPr>
        <w:t>9</w:t>
      </w:r>
      <w:r>
        <w:rPr>
          <w:rFonts w:hint="eastAsia" w:ascii="仿宋_GB2312" w:eastAsia="仿宋_GB2312"/>
          <w:color w:val="000000"/>
          <w:sz w:val="32"/>
          <w:szCs w:val="32"/>
          <w:u w:val="single"/>
        </w:rPr>
        <w:t>日</w:t>
      </w:r>
    </w:p>
    <w:p w14:paraId="3328CB1C">
      <w:pPr>
        <w:spacing w:line="480" w:lineRule="exact"/>
        <w:jc w:val="center"/>
        <w:outlineLvl w:val="0"/>
        <w:rPr>
          <w:rFonts w:ascii="仿宋_GB2312" w:eastAsia="仿宋_GB2312"/>
          <w:sz w:val="32"/>
          <w:szCs w:val="32"/>
        </w:rPr>
      </w:pPr>
    </w:p>
    <w:p w14:paraId="65E47398">
      <w:pPr>
        <w:spacing w:line="480" w:lineRule="exact"/>
        <w:jc w:val="left"/>
        <w:outlineLvl w:val="0"/>
        <w:rPr>
          <w:rFonts w:ascii="仿宋_GB2312" w:eastAsia="仿宋_GB2312"/>
          <w:sz w:val="32"/>
          <w:szCs w:val="32"/>
          <w:u w:val="single"/>
        </w:rPr>
      </w:pPr>
    </w:p>
    <w:p w14:paraId="4FB1AD96">
      <w:pPr>
        <w:pStyle w:val="5"/>
        <w:adjustRightInd/>
        <w:spacing w:after="62" w:afterLines="20" w:line="520" w:lineRule="exact"/>
        <w:jc w:val="center"/>
        <w:textAlignment w:val="auto"/>
        <w:rPr>
          <w:rFonts w:ascii="楷体_GB2312" w:hAnsi="宋体" w:eastAsia="楷体_GB2312" w:cs="宋体"/>
          <w:color w:val="000000"/>
          <w:spacing w:val="-6"/>
          <w:kern w:val="0"/>
          <w:sz w:val="32"/>
          <w:szCs w:val="32"/>
        </w:rPr>
      </w:pPr>
      <w:r>
        <w:rPr>
          <w:rFonts w:hint="eastAsia" w:ascii="楷体_GB2312" w:hAnsi="宋体" w:eastAsia="楷体_GB2312" w:cs="宋体"/>
          <w:color w:val="000000"/>
          <w:spacing w:val="-6"/>
          <w:kern w:val="0"/>
          <w:sz w:val="32"/>
          <w:szCs w:val="32"/>
        </w:rPr>
        <w:t>财政部</w:t>
      </w:r>
    </w:p>
    <w:p w14:paraId="51051A9D">
      <w:pPr>
        <w:pStyle w:val="5"/>
        <w:adjustRightInd/>
        <w:spacing w:after="62" w:afterLines="20" w:line="520" w:lineRule="exact"/>
        <w:jc w:val="center"/>
        <w:textAlignment w:val="auto"/>
        <w:rPr>
          <w:rFonts w:ascii="仿宋_GB2312" w:eastAsia="仿宋_GB2312"/>
          <w:sz w:val="32"/>
          <w:szCs w:val="32"/>
          <w:u w:val="single"/>
        </w:rPr>
      </w:pPr>
      <w:r>
        <w:rPr>
          <w:rFonts w:hint="eastAsia" w:eastAsia="楷体_GB2312"/>
          <w:color w:val="000000"/>
          <w:spacing w:val="-6"/>
          <w:kern w:val="0"/>
          <w:sz w:val="32"/>
          <w:szCs w:val="32"/>
        </w:rPr>
        <w:t>202</w:t>
      </w:r>
      <w:r>
        <w:rPr>
          <w:rFonts w:hint="eastAsia" w:eastAsia="楷体_GB2312"/>
          <w:color w:val="000000"/>
          <w:spacing w:val="-6"/>
          <w:kern w:val="0"/>
          <w:sz w:val="32"/>
          <w:szCs w:val="32"/>
          <w:lang w:val="en-US" w:eastAsia="zh-CN"/>
        </w:rPr>
        <w:t>5</w:t>
      </w:r>
      <w:r>
        <w:rPr>
          <w:rFonts w:hint="eastAsia" w:ascii="楷体_GB2312" w:hAnsi="宋体" w:eastAsia="楷体_GB2312" w:cs="宋体"/>
          <w:color w:val="000000"/>
          <w:spacing w:val="-6"/>
          <w:kern w:val="0"/>
          <w:sz w:val="32"/>
          <w:szCs w:val="32"/>
        </w:rPr>
        <w:t>年 制</w:t>
      </w:r>
    </w:p>
    <w:p w14:paraId="7B122E15">
      <w:pPr>
        <w:rPr>
          <w:rFonts w:ascii="黑体" w:eastAsia="黑体"/>
          <w:sz w:val="24"/>
        </w:rPr>
        <w:sectPr>
          <w:footerReference r:id="rId3" w:type="default"/>
          <w:footerReference r:id="rId4" w:type="even"/>
          <w:pgSz w:w="11906" w:h="16838"/>
          <w:pgMar w:top="1440" w:right="1800" w:bottom="1440" w:left="1800" w:header="851" w:footer="499" w:gutter="0"/>
          <w:cols w:space="720" w:num="1"/>
          <w:docGrid w:type="lines" w:linePitch="312" w:charSpace="0"/>
        </w:sectPr>
      </w:pPr>
    </w:p>
    <w:p w14:paraId="1EC1D8E0">
      <w:pPr>
        <w:rPr>
          <w:rFonts w:ascii="黑体" w:eastAsia="黑体"/>
          <w:sz w:val="24"/>
        </w:rPr>
      </w:pPr>
    </w:p>
    <w:p w14:paraId="40D5BAF5">
      <w:pPr>
        <w:spacing w:line="560" w:lineRule="exact"/>
        <w:jc w:val="center"/>
        <w:rPr>
          <w:rFonts w:ascii="黑体" w:eastAsia="黑体"/>
          <w:color w:val="000000"/>
          <w:spacing w:val="-10"/>
          <w:sz w:val="44"/>
          <w:szCs w:val="44"/>
        </w:rPr>
      </w:pPr>
      <w:r>
        <w:rPr>
          <w:rFonts w:hint="eastAsia" w:ascii="黑体" w:eastAsia="黑体" w:cs="方正小标宋简体"/>
          <w:color w:val="000000"/>
          <w:spacing w:val="-10"/>
          <w:sz w:val="44"/>
          <w:szCs w:val="44"/>
        </w:rPr>
        <w:t>填 报 须 知</w:t>
      </w:r>
    </w:p>
    <w:p w14:paraId="26D63A66">
      <w:pPr>
        <w:spacing w:line="460" w:lineRule="exact"/>
        <w:ind w:firstLine="616" w:firstLineChars="200"/>
        <w:rPr>
          <w:rFonts w:eastAsia="仿宋_GB2312" w:cs="仿宋_GB2312"/>
          <w:color w:val="000000"/>
          <w:spacing w:val="4"/>
          <w:sz w:val="30"/>
          <w:szCs w:val="30"/>
        </w:rPr>
      </w:pPr>
    </w:p>
    <w:p w14:paraId="1A75641A">
      <w:pPr>
        <w:spacing w:line="360" w:lineRule="auto"/>
        <w:ind w:firstLine="576" w:firstLineChars="200"/>
        <w:rPr>
          <w:rFonts w:eastAsia="仿宋_GB2312" w:cs="仿宋_GB2312"/>
          <w:color w:val="000000"/>
          <w:spacing w:val="4"/>
          <w:sz w:val="28"/>
          <w:szCs w:val="28"/>
        </w:rPr>
      </w:pPr>
      <w:r>
        <w:rPr>
          <w:rFonts w:eastAsia="仿宋_GB2312" w:cs="仿宋_GB2312"/>
          <w:color w:val="000000"/>
          <w:spacing w:val="4"/>
          <w:sz w:val="28"/>
          <w:szCs w:val="28"/>
        </w:rPr>
        <w:t>1. 202</w:t>
      </w:r>
      <w:r>
        <w:rPr>
          <w:rFonts w:hint="eastAsia" w:eastAsia="仿宋_GB2312" w:cs="仿宋_GB2312"/>
          <w:color w:val="000000"/>
          <w:spacing w:val="4"/>
          <w:sz w:val="28"/>
          <w:szCs w:val="28"/>
          <w:lang w:val="en-US" w:eastAsia="zh-CN"/>
        </w:rPr>
        <w:t>4</w:t>
      </w:r>
      <w:r>
        <w:rPr>
          <w:rFonts w:hint="eastAsia" w:eastAsia="仿宋_GB2312" w:cs="仿宋_GB2312"/>
          <w:color w:val="000000"/>
          <w:spacing w:val="4"/>
          <w:sz w:val="28"/>
          <w:szCs w:val="28"/>
        </w:rPr>
        <w:t>年度行政事业单位内部控制报告分为正文和附表两个部分。</w:t>
      </w:r>
    </w:p>
    <w:p w14:paraId="724CAB35">
      <w:pPr>
        <w:spacing w:line="360" w:lineRule="auto"/>
        <w:ind w:firstLine="576" w:firstLineChars="200"/>
        <w:rPr>
          <w:rFonts w:eastAsia="仿宋_GB2312" w:cs="仿宋_GB2312"/>
          <w:color w:val="000000"/>
          <w:spacing w:val="4"/>
          <w:sz w:val="28"/>
          <w:szCs w:val="28"/>
        </w:rPr>
      </w:pPr>
      <w:r>
        <w:rPr>
          <w:rFonts w:eastAsia="仿宋_GB2312" w:cs="仿宋_GB2312"/>
          <w:color w:val="000000"/>
          <w:spacing w:val="4"/>
          <w:sz w:val="28"/>
          <w:szCs w:val="28"/>
        </w:rPr>
        <w:t>2.</w:t>
      </w:r>
      <w:r>
        <w:rPr>
          <w:rFonts w:hint="eastAsia" w:eastAsia="仿宋_GB2312" w:cs="仿宋_GB2312"/>
          <w:color w:val="000000"/>
          <w:spacing w:val="4"/>
          <w:sz w:val="28"/>
          <w:szCs w:val="28"/>
        </w:rPr>
        <w:t>各单位根据《行政事业单位内部控制规范（试行）》，在本报告中如实填写本单位经济活动所涉及的预算、收支、政府采购、资产、建设项目、合同等业务的内部控制建设情况，不包括人事、党建等领域的内部控制情况。</w:t>
      </w:r>
    </w:p>
    <w:p w14:paraId="12842EA3">
      <w:pPr>
        <w:spacing w:line="360" w:lineRule="auto"/>
        <w:ind w:firstLine="576" w:firstLineChars="200"/>
        <w:rPr>
          <w:rFonts w:eastAsia="仿宋_GB2312" w:cs="仿宋_GB2312"/>
          <w:color w:val="000000"/>
          <w:spacing w:val="4"/>
          <w:sz w:val="28"/>
          <w:szCs w:val="28"/>
        </w:rPr>
      </w:pPr>
      <w:r>
        <w:rPr>
          <w:rFonts w:eastAsia="仿宋_GB2312" w:cs="仿宋_GB2312"/>
          <w:color w:val="000000"/>
          <w:spacing w:val="4"/>
          <w:sz w:val="28"/>
          <w:szCs w:val="28"/>
        </w:rPr>
        <w:t>3.</w:t>
      </w:r>
      <w:r>
        <w:rPr>
          <w:rFonts w:hint="eastAsia" w:eastAsia="仿宋_GB2312" w:cs="仿宋_GB2312"/>
          <w:color w:val="000000"/>
          <w:spacing w:val="4"/>
          <w:sz w:val="28"/>
          <w:szCs w:val="28"/>
        </w:rPr>
        <w:t>各单位应在</w:t>
      </w:r>
      <w:r>
        <w:rPr>
          <w:rFonts w:eastAsia="仿宋_GB2312" w:cs="仿宋_GB2312"/>
          <w:color w:val="000000"/>
          <w:spacing w:val="4"/>
          <w:sz w:val="28"/>
          <w:szCs w:val="28"/>
        </w:rPr>
        <w:t>202</w:t>
      </w:r>
      <w:r>
        <w:rPr>
          <w:rFonts w:hint="eastAsia" w:eastAsia="仿宋_GB2312" w:cs="仿宋_GB2312"/>
          <w:color w:val="000000"/>
          <w:spacing w:val="4"/>
          <w:sz w:val="28"/>
          <w:szCs w:val="28"/>
          <w:lang w:val="en-US" w:eastAsia="zh-CN"/>
        </w:rPr>
        <w:t>4</w:t>
      </w:r>
      <w:r>
        <w:rPr>
          <w:rFonts w:hint="eastAsia" w:eastAsia="仿宋_GB2312" w:cs="仿宋_GB2312"/>
          <w:color w:val="000000"/>
          <w:spacing w:val="4"/>
          <w:sz w:val="28"/>
          <w:szCs w:val="28"/>
        </w:rPr>
        <w:t>年度行政事业单位内部控制报告填报系统中填报相关内容，系统自动生成“</w:t>
      </w:r>
      <w:r>
        <w:rPr>
          <w:rFonts w:eastAsia="仿宋_GB2312" w:cs="仿宋_GB2312"/>
          <w:color w:val="000000"/>
          <w:spacing w:val="4"/>
          <w:sz w:val="28"/>
          <w:szCs w:val="28"/>
        </w:rPr>
        <w:t>202</w:t>
      </w:r>
      <w:r>
        <w:rPr>
          <w:rFonts w:hint="eastAsia" w:eastAsia="仿宋_GB2312" w:cs="仿宋_GB2312"/>
          <w:color w:val="000000"/>
          <w:spacing w:val="4"/>
          <w:sz w:val="28"/>
          <w:szCs w:val="28"/>
          <w:lang w:val="en-US" w:eastAsia="zh-CN"/>
        </w:rPr>
        <w:t>4</w:t>
      </w:r>
      <w:r>
        <w:rPr>
          <w:rFonts w:hint="eastAsia" w:eastAsia="仿宋_GB2312" w:cs="仿宋_GB2312"/>
          <w:color w:val="000000"/>
          <w:spacing w:val="4"/>
          <w:sz w:val="28"/>
          <w:szCs w:val="28"/>
        </w:rPr>
        <w:t>年度行政事业单位内部控制报告”。</w:t>
      </w:r>
    </w:p>
    <w:p w14:paraId="08DC8E84">
      <w:pPr>
        <w:spacing w:line="360" w:lineRule="auto"/>
        <w:ind w:firstLine="576" w:firstLineChars="200"/>
        <w:rPr>
          <w:rFonts w:eastAsia="仿宋_GB2312" w:cs="仿宋_GB2312"/>
          <w:color w:val="000000"/>
          <w:spacing w:val="4"/>
          <w:sz w:val="28"/>
          <w:szCs w:val="28"/>
        </w:rPr>
      </w:pPr>
      <w:r>
        <w:rPr>
          <w:rFonts w:eastAsia="仿宋_GB2312" w:cs="仿宋_GB2312"/>
          <w:color w:val="000000"/>
          <w:spacing w:val="4"/>
          <w:sz w:val="28"/>
          <w:szCs w:val="28"/>
        </w:rPr>
        <w:t>4.</w:t>
      </w:r>
      <w:r>
        <w:rPr>
          <w:rFonts w:hint="eastAsia" w:eastAsia="仿宋_GB2312" w:cs="仿宋_GB2312"/>
          <w:color w:val="000000"/>
          <w:spacing w:val="4"/>
          <w:sz w:val="28"/>
          <w:szCs w:val="28"/>
        </w:rPr>
        <w:t>单位名称填列单位的全称，各级主管部门填报本级报告时，应在单位名称后加“（本级）”。</w:t>
      </w:r>
    </w:p>
    <w:p w14:paraId="326BFDF9">
      <w:pPr>
        <w:spacing w:line="360" w:lineRule="auto"/>
        <w:ind w:firstLine="576" w:firstLineChars="200"/>
        <w:rPr>
          <w:rFonts w:eastAsia="仿宋_GB2312" w:cs="仿宋_GB2312"/>
          <w:color w:val="000000"/>
          <w:spacing w:val="4"/>
          <w:sz w:val="28"/>
          <w:szCs w:val="28"/>
        </w:rPr>
      </w:pPr>
      <w:r>
        <w:rPr>
          <w:rFonts w:eastAsia="仿宋_GB2312" w:cs="仿宋_GB2312"/>
          <w:color w:val="000000"/>
          <w:spacing w:val="4"/>
          <w:sz w:val="28"/>
          <w:szCs w:val="28"/>
        </w:rPr>
        <w:t>5.</w:t>
      </w:r>
      <w:r>
        <w:rPr>
          <w:rFonts w:hint="eastAsia" w:eastAsia="仿宋_GB2312" w:cs="仿宋_GB2312"/>
          <w:color w:val="000000"/>
          <w:spacing w:val="4"/>
          <w:sz w:val="28"/>
          <w:szCs w:val="28"/>
        </w:rPr>
        <w:t>报告中的年、月、日一律用公历和阿拉伯数字表示。</w:t>
      </w:r>
    </w:p>
    <w:p w14:paraId="20DBF5A6">
      <w:pPr>
        <w:spacing w:line="360" w:lineRule="auto"/>
        <w:ind w:firstLine="576" w:firstLineChars="200"/>
        <w:rPr>
          <w:rFonts w:eastAsia="仿宋_GB2312" w:cs="仿宋_GB2312"/>
          <w:color w:val="000000"/>
          <w:spacing w:val="4"/>
          <w:sz w:val="28"/>
          <w:szCs w:val="28"/>
        </w:rPr>
      </w:pPr>
      <w:r>
        <w:rPr>
          <w:rFonts w:eastAsia="仿宋_GB2312" w:cs="仿宋_GB2312"/>
          <w:color w:val="000000"/>
          <w:spacing w:val="4"/>
          <w:sz w:val="28"/>
          <w:szCs w:val="28"/>
        </w:rPr>
        <w:t>6.</w:t>
      </w:r>
      <w:r>
        <w:rPr>
          <w:rFonts w:hint="eastAsia" w:eastAsia="仿宋_GB2312" w:cs="仿宋_GB2312"/>
          <w:color w:val="000000"/>
          <w:spacing w:val="4"/>
          <w:sz w:val="28"/>
          <w:szCs w:val="28"/>
        </w:rPr>
        <w:t>电话号码处填写填表人的联系电话号码。</w:t>
      </w:r>
    </w:p>
    <w:p w14:paraId="34D08FE5">
      <w:pPr>
        <w:spacing w:line="360" w:lineRule="auto"/>
        <w:ind w:firstLine="576" w:firstLineChars="200"/>
        <w:rPr>
          <w:rFonts w:eastAsia="仿宋_GB2312" w:cs="仿宋_GB2312"/>
          <w:color w:val="000000"/>
          <w:spacing w:val="4"/>
          <w:sz w:val="28"/>
          <w:szCs w:val="28"/>
        </w:rPr>
      </w:pPr>
      <w:r>
        <w:rPr>
          <w:rFonts w:eastAsia="仿宋_GB2312" w:cs="仿宋_GB2312"/>
          <w:color w:val="000000"/>
          <w:spacing w:val="4"/>
          <w:sz w:val="28"/>
          <w:szCs w:val="28"/>
        </w:rPr>
        <w:t>7.</w:t>
      </w:r>
      <w:r>
        <w:rPr>
          <w:rFonts w:hint="eastAsia" w:eastAsia="仿宋_GB2312" w:cs="仿宋_GB2312"/>
          <w:color w:val="000000"/>
          <w:spacing w:val="4"/>
          <w:sz w:val="28"/>
          <w:szCs w:val="28"/>
        </w:rPr>
        <w:t>报送日期填写单位负责人审批通过内部控制报告的时间。</w:t>
      </w:r>
    </w:p>
    <w:p w14:paraId="76C73948">
      <w:pPr>
        <w:spacing w:line="360" w:lineRule="auto"/>
        <w:ind w:firstLine="576" w:firstLineChars="200"/>
        <w:rPr>
          <w:rFonts w:eastAsia="仿宋_GB2312" w:cs="仿宋_GB2312"/>
          <w:color w:val="000000"/>
          <w:spacing w:val="4"/>
          <w:sz w:val="28"/>
          <w:szCs w:val="28"/>
        </w:rPr>
      </w:pPr>
      <w:r>
        <w:rPr>
          <w:rFonts w:eastAsia="仿宋_GB2312" w:cs="仿宋_GB2312"/>
          <w:color w:val="000000"/>
          <w:spacing w:val="4"/>
          <w:sz w:val="28"/>
          <w:szCs w:val="28"/>
        </w:rPr>
        <w:t>8.</w:t>
      </w:r>
      <w:r>
        <w:rPr>
          <w:rFonts w:hint="eastAsia" w:eastAsia="仿宋_GB2312" w:cs="仿宋_GB2312"/>
          <w:color w:val="000000"/>
          <w:spacing w:val="4"/>
          <w:sz w:val="28"/>
          <w:szCs w:val="28"/>
        </w:rPr>
        <w:t>填写前请认真阅读填报须知和附表内每一事项表格下方的填写说明。</w:t>
      </w:r>
    </w:p>
    <w:p w14:paraId="5F4BFFD7">
      <w:pPr>
        <w:spacing w:line="360" w:lineRule="auto"/>
        <w:ind w:firstLine="576" w:firstLineChars="200"/>
        <w:rPr>
          <w:rFonts w:eastAsia="仿宋_GB2312" w:cs="仿宋_GB2312"/>
          <w:color w:val="000000"/>
          <w:spacing w:val="4"/>
          <w:sz w:val="28"/>
          <w:szCs w:val="28"/>
        </w:rPr>
      </w:pPr>
      <w:r>
        <w:rPr>
          <w:rFonts w:eastAsia="仿宋_GB2312" w:cs="仿宋_GB2312"/>
          <w:color w:val="000000"/>
          <w:spacing w:val="4"/>
          <w:sz w:val="28"/>
          <w:szCs w:val="28"/>
        </w:rPr>
        <w:t>9.</w:t>
      </w:r>
      <w:r>
        <w:rPr>
          <w:rFonts w:hint="eastAsia" w:eastAsia="仿宋_GB2312" w:cs="仿宋_GB2312"/>
          <w:color w:val="000000"/>
          <w:spacing w:val="4"/>
          <w:sz w:val="28"/>
          <w:szCs w:val="28"/>
        </w:rPr>
        <w:t>本报告应当按照规定进行脱敏脱密处理，严禁报送涉密信息，敏感信息通过光盘报送。</w:t>
      </w:r>
    </w:p>
    <w:p w14:paraId="1D8E1B9B">
      <w:pPr>
        <w:autoSpaceDE w:val="0"/>
        <w:autoSpaceDN w:val="0"/>
        <w:ind w:firstLine="616" w:firstLineChars="200"/>
        <w:textAlignment w:val="baseline"/>
        <w:rPr>
          <w:rFonts w:ascii="仿宋_GB2312" w:eastAsia="仿宋_GB2312"/>
          <w:sz w:val="28"/>
          <w:szCs w:val="28"/>
        </w:rPr>
      </w:pPr>
      <w:r>
        <w:rPr>
          <w:rFonts w:eastAsia="仿宋_GB2312" w:cs="仿宋_GB2312"/>
          <w:color w:val="000000"/>
          <w:spacing w:val="4"/>
          <w:sz w:val="30"/>
          <w:szCs w:val="30"/>
        </w:rPr>
        <w:br w:type="page"/>
      </w:r>
    </w:p>
    <w:p w14:paraId="3EF05EB6">
      <w:pPr>
        <w:autoSpaceDE w:val="0"/>
        <w:autoSpaceDN w:val="0"/>
        <w:ind w:firstLine="600" w:firstLineChars="200"/>
        <w:textAlignment w:val="baseline"/>
        <w:rPr>
          <w:rFonts w:ascii="仿宋_GB2312" w:eastAsia="仿宋_GB2312"/>
          <w:sz w:val="30"/>
          <w:szCs w:val="30"/>
        </w:rPr>
      </w:pPr>
      <w:r>
        <w:rPr>
          <w:rFonts w:hint="eastAsia" w:ascii="仿宋_GB2312" w:eastAsia="仿宋_GB2312"/>
          <w:sz w:val="30"/>
          <w:szCs w:val="30"/>
        </w:rPr>
        <w:t>为贯彻落实《财政部关于全面推进行政事业单位内部控制建设的指导意见》（财会〔</w:t>
      </w:r>
      <w:r>
        <w:rPr>
          <w:rFonts w:ascii="仿宋_GB2312" w:eastAsia="仿宋_GB2312"/>
          <w:sz w:val="30"/>
          <w:szCs w:val="30"/>
        </w:rPr>
        <w:t>2015</w:t>
      </w:r>
      <w:r>
        <w:rPr>
          <w:rFonts w:hint="eastAsia" w:ascii="仿宋_GB2312" w:eastAsia="仿宋_GB2312"/>
          <w:sz w:val="30"/>
          <w:szCs w:val="30"/>
        </w:rPr>
        <w:t>〕</w:t>
      </w:r>
      <w:r>
        <w:rPr>
          <w:rFonts w:ascii="仿宋_GB2312" w:eastAsia="仿宋_GB2312"/>
          <w:sz w:val="30"/>
          <w:szCs w:val="30"/>
        </w:rPr>
        <w:t>24</w:t>
      </w:r>
      <w:r>
        <w:rPr>
          <w:rFonts w:hint="eastAsia" w:ascii="仿宋_GB2312" w:eastAsia="仿宋_GB2312"/>
          <w:sz w:val="30"/>
          <w:szCs w:val="30"/>
        </w:rPr>
        <w:t>号）的有关精神，依据《行政事业单位内部控制规范（试行）》（财会〔</w:t>
      </w:r>
      <w:r>
        <w:rPr>
          <w:rFonts w:ascii="仿宋_GB2312" w:eastAsia="仿宋_GB2312"/>
          <w:sz w:val="30"/>
          <w:szCs w:val="30"/>
        </w:rPr>
        <w:t>2012</w:t>
      </w:r>
      <w:r>
        <w:rPr>
          <w:rFonts w:hint="eastAsia" w:ascii="仿宋_GB2312" w:eastAsia="仿宋_GB2312"/>
          <w:sz w:val="30"/>
          <w:szCs w:val="30"/>
        </w:rPr>
        <w:t>〕</w:t>
      </w:r>
      <w:r>
        <w:rPr>
          <w:rFonts w:ascii="仿宋_GB2312" w:eastAsia="仿宋_GB2312"/>
          <w:sz w:val="30"/>
          <w:szCs w:val="30"/>
        </w:rPr>
        <w:t>21</w:t>
      </w:r>
      <w:r>
        <w:rPr>
          <w:rFonts w:hint="eastAsia" w:ascii="仿宋_GB2312" w:eastAsia="仿宋_GB2312"/>
          <w:sz w:val="30"/>
          <w:szCs w:val="30"/>
        </w:rPr>
        <w:t>号）和《行政事业单位内部控制报告管理制度（试行）》（财会〔</w:t>
      </w:r>
      <w:r>
        <w:rPr>
          <w:rFonts w:ascii="仿宋_GB2312" w:eastAsia="仿宋_GB2312"/>
          <w:sz w:val="30"/>
          <w:szCs w:val="30"/>
        </w:rPr>
        <w:t>2017</w:t>
      </w: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号）的有关规定，现将本单位</w:t>
      </w:r>
      <w:r>
        <w:rPr>
          <w:rFonts w:ascii="仿宋_GB2312" w:eastAsia="仿宋_GB2312"/>
          <w:sz w:val="30"/>
          <w:szCs w:val="30"/>
        </w:rPr>
        <w:t>20</w:t>
      </w:r>
      <w:r>
        <w:rPr>
          <w:rFonts w:hint="eastAsia" w:ascii="仿宋_GB2312" w:eastAsia="仿宋_GB2312"/>
          <w:sz w:val="30"/>
          <w:szCs w:val="30"/>
        </w:rPr>
        <w:t>2</w:t>
      </w:r>
      <w:r>
        <w:rPr>
          <w:rFonts w:hint="eastAsia" w:ascii="仿宋_GB2312" w:eastAsia="仿宋_GB2312"/>
          <w:sz w:val="30"/>
          <w:szCs w:val="30"/>
          <w:lang w:val="en-US" w:eastAsia="zh-CN"/>
        </w:rPr>
        <w:t>4</w:t>
      </w:r>
      <w:r>
        <w:rPr>
          <w:rFonts w:hint="eastAsia" w:ascii="仿宋_GB2312" w:eastAsia="仿宋_GB2312"/>
          <w:sz w:val="30"/>
          <w:szCs w:val="30"/>
        </w:rPr>
        <w:t>年度内部控制工作情况报告如下：</w:t>
      </w:r>
    </w:p>
    <w:p w14:paraId="32AE82F1">
      <w:pPr>
        <w:autoSpaceDE w:val="0"/>
        <w:autoSpaceDN w:val="0"/>
        <w:ind w:firstLine="606" w:firstLineChars="202"/>
        <w:textAlignment w:val="baseline"/>
        <w:rPr>
          <w:rFonts w:ascii="黑体" w:hAnsi="黑体" w:eastAsia="黑体"/>
          <w:color w:val="000000"/>
          <w:sz w:val="30"/>
          <w:szCs w:val="30"/>
        </w:rPr>
      </w:pPr>
      <w:r>
        <w:rPr>
          <w:rFonts w:hint="eastAsia" w:ascii="黑体" w:hAnsi="黑体" w:eastAsia="黑体"/>
          <w:color w:val="000000"/>
          <w:sz w:val="30"/>
          <w:szCs w:val="30"/>
        </w:rPr>
        <w:t>一、单位内部控制工作的基本情况</w:t>
      </w:r>
    </w:p>
    <w:p w14:paraId="268A510E">
      <w:pPr>
        <w:autoSpaceDE w:val="0"/>
        <w:autoSpaceDN w:val="0"/>
        <w:ind w:firstLine="567"/>
        <w:textAlignment w:val="baseline"/>
        <w:rPr>
          <w:rFonts w:ascii="仿宋_GB2312" w:hAnsi="黑体" w:eastAsia="仿宋_GB2312"/>
          <w:color w:val="000000"/>
          <w:sz w:val="30"/>
          <w:szCs w:val="30"/>
        </w:rPr>
      </w:pPr>
      <w:r>
        <w:rPr>
          <w:rFonts w:hint="eastAsia" w:ascii="仿宋_GB2312" w:hAnsi="黑体" w:eastAsia="仿宋_GB2312"/>
          <w:color w:val="000000"/>
          <w:sz w:val="30"/>
          <w:szCs w:val="30"/>
        </w:rPr>
        <w:t>（一）内部控制机构设置与</w:t>
      </w:r>
      <w:r>
        <w:rPr>
          <w:rFonts w:hint="eastAsia" w:ascii="仿宋_GB2312" w:hAnsi="黑体" w:eastAsia="仿宋_GB2312"/>
          <w:color w:val="000000"/>
          <w:sz w:val="30"/>
          <w:szCs w:val="30"/>
          <w:lang w:eastAsia="zh-CN"/>
        </w:rPr>
        <w:t>2024</w:t>
      </w:r>
      <w:r>
        <w:rPr>
          <w:rFonts w:hint="eastAsia" w:ascii="仿宋_GB2312" w:hAnsi="黑体" w:eastAsia="仿宋_GB2312"/>
          <w:color w:val="000000"/>
          <w:sz w:val="30"/>
          <w:szCs w:val="30"/>
        </w:rPr>
        <w:t>年度运行情况。</w:t>
      </w:r>
    </w:p>
    <w:p w14:paraId="632B9BA6">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1、内部控制机构组成情况：为较好的完成内部控制建设与完善工作，沅江市公安局交通警察大队设立内部控制领导小组，组长：杨灿华（大队长），副组长江丽民（教导员）。领导小组下设沅江市公安局交通警察大队内部控制工作小组，负责具体工作，组长：吴柏军（分管财务的副</w:t>
      </w:r>
      <w:r>
        <w:rPr>
          <w:rFonts w:hint="eastAsia" w:ascii="仿宋_GB2312" w:hAnsi="黑体" w:eastAsia="仿宋_GB2312"/>
          <w:color w:val="000000"/>
          <w:sz w:val="30"/>
          <w:szCs w:val="30"/>
          <w:lang w:eastAsia="zh-CN"/>
        </w:rPr>
        <w:t>大队</w:t>
      </w:r>
      <w:r>
        <w:rPr>
          <w:rFonts w:hint="eastAsia" w:ascii="仿宋_GB2312" w:hAnsi="黑体" w:eastAsia="仿宋_GB2312"/>
          <w:color w:val="000000"/>
          <w:sz w:val="30"/>
          <w:szCs w:val="30"/>
        </w:rPr>
        <w:t>长），副组长：钟双剑（综合指导中队中队长），成员：综合指导中队成员。内部控制建设牵头部门为沅江市综合指导中队财务室，内部控制评价与监督部门为沅江市综合指导中队办公室。      2、内部控制机构运行情况：本年召开内部控制领导小组会议一次，布置内部控制制度六大相关业务“预算业务;收支业务;政府采购业务;国有资产业务;建设项目业务;合同业务”，组织所有报账单位代表开展内部控制专题培训一次，传达相关会议精神。</w:t>
      </w:r>
    </w:p>
    <w:p w14:paraId="6C291A16">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（二）</w:t>
      </w:r>
      <w:r>
        <w:rPr>
          <w:rFonts w:hint="eastAsia" w:ascii="仿宋_GB2312" w:hAnsi="黑体" w:eastAsia="仿宋_GB2312"/>
          <w:color w:val="000000"/>
          <w:sz w:val="30"/>
          <w:szCs w:val="30"/>
          <w:lang w:eastAsia="zh-CN"/>
        </w:rPr>
        <w:t>2024</w:t>
      </w:r>
      <w:r>
        <w:rPr>
          <w:rFonts w:hint="eastAsia" w:ascii="仿宋_GB2312" w:hAnsi="黑体" w:eastAsia="仿宋_GB2312"/>
          <w:color w:val="000000"/>
          <w:sz w:val="30"/>
          <w:szCs w:val="30"/>
        </w:rPr>
        <w:t>年度内部控制工作的组织实施情况。</w:t>
      </w:r>
    </w:p>
    <w:p w14:paraId="7A8D1E54">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1、本年单位内部控制风险评估覆盖四大单位层面“组织架构;运行机制;关键岗位;制度体系”；覆盖六大业务层面“预算业务;收支业务;政府采购业务;国有资产业务;建设项目业务;合同业务”；并在年度内开展内部控制评价，并将评价结论作为完善内部管理制度的依据;作为监督问责的重要参考依据;作为领导干部选拔任用的参考。     2、建立权力运行制衡机制：分事行权、分岗设权、分级授权、定期轮岗、职责明晰、决策程序。因所有关键岗位均在周期内进行了定期轮岗故未进行专项审计。   3、会计制度改革执行情况：执行政府会计准则制度；按照政府会计准则制度要求开展预算会计核算和财务会计核算对固定资产和无形资产计提折旧或摊销；编制政府部门财务报告时，部门及所属单位之间发生的经济业务或事项在抵销前进行确认；将基本建设投资纳入统一账簿进行会计核算（无公共基础设施、保障性住房、政府储备物资、国有文物文化资产）。</w:t>
      </w:r>
    </w:p>
    <w:p w14:paraId="214800A9">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（三）内部控制制度建设与</w:t>
      </w:r>
      <w:r>
        <w:rPr>
          <w:rFonts w:hint="eastAsia" w:ascii="仿宋_GB2312" w:hAnsi="黑体" w:eastAsia="仿宋_GB2312"/>
          <w:color w:val="000000"/>
          <w:sz w:val="30"/>
          <w:szCs w:val="30"/>
          <w:lang w:eastAsia="zh-CN"/>
        </w:rPr>
        <w:t>2024</w:t>
      </w:r>
      <w:r>
        <w:rPr>
          <w:rFonts w:hint="eastAsia" w:ascii="仿宋_GB2312" w:hAnsi="黑体" w:eastAsia="仿宋_GB2312"/>
          <w:color w:val="000000"/>
          <w:sz w:val="30"/>
          <w:szCs w:val="30"/>
        </w:rPr>
        <w:t>年度更新及执行情况。</w:t>
      </w:r>
    </w:p>
    <w:p w14:paraId="2AF5DD90">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1、预算业务管理：包含预算编制与审核预算；执行与调整；决算管理；绩效管理。年度内按要求编制预算并按“二上二下”的原则审核预算并公示；调整预算均按程序审批；编制决算报告并按程序公示；编制预算绩效自评报告并按程序公示。      2、收支业务管理：收入管理；财政票据管理；支出管理；公务卡管理。年度内坚持“收支两条线”原则,所有收入均入账管理，不设立账外账；专人管理非税等财政票据并定期与财政对账保证非税收入应入尽入；按照实际工作需要支出管理厉行节约；授权支付按相关要求实现应刷公务卡尽刷，因实际情况无法刷公务卡出具书面说明。         3、政府采购业务管理：采购申请与审核采购组织形式确定、采购方式确定及变更采购。年度限额内实行政府采购网采购，除涉密及采购网无提供的做到应采尽采；限额外按程序委托代理机构进行竞争性谈判、公开招投标等进行采购。        4、国有资产业务管理：验收货币、资金管理、固定资产管理、无形资产管理。国有资产、无形资产按规定计提折旧并委托第三方机构进行账实相符清查。     5、建设项目业务管理：项目立项、设计与概预算、项目采购管理、项目施工、变更与资金支付项目、验收管理与绩效评价。项目均按程序申报、采购、施工、支付、验收。     6、合同业务管理：合同拟订与审批、合同履行与监督、合同档案与纠纷管理。</w:t>
      </w:r>
    </w:p>
    <w:p w14:paraId="2B7E86E4">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（四）</w:t>
      </w:r>
      <w:r>
        <w:rPr>
          <w:rFonts w:hint="eastAsia" w:ascii="仿宋_GB2312" w:hAnsi="黑体" w:eastAsia="仿宋_GB2312"/>
          <w:color w:val="000000"/>
          <w:sz w:val="30"/>
          <w:szCs w:val="30"/>
          <w:lang w:eastAsia="zh-CN"/>
        </w:rPr>
        <w:t>2024</w:t>
      </w:r>
      <w:r>
        <w:rPr>
          <w:rFonts w:hint="eastAsia" w:ascii="仿宋_GB2312" w:hAnsi="黑体" w:eastAsia="仿宋_GB2312"/>
          <w:color w:val="000000"/>
          <w:sz w:val="30"/>
          <w:szCs w:val="30"/>
        </w:rPr>
        <w:t>年度内部控制评价与监督情况。</w:t>
      </w:r>
    </w:p>
    <w:p w14:paraId="72E6B5A1">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本单位建立健全内部监督制度，明确各相关部门或岗位在内部监督中的职责权限，规定内部监督的程序和要求，对内部控制建立与实施情况进行内部监督检查和自我评价。内部监督与内部控制的建立和实施保持相对独立。内部审计岗位应当定期或不定期检查单位内部管理制度和机制的建立与执行情况，以及内部控制关键岗位及人员的设置情况等，及时发现内部控制存在的问题并提出改进建议。</w:t>
      </w:r>
    </w:p>
    <w:p w14:paraId="29E9C312">
      <w:pPr>
        <w:autoSpaceDE w:val="0"/>
        <w:autoSpaceDN w:val="0"/>
        <w:ind w:firstLine="606" w:firstLineChars="202"/>
        <w:textAlignment w:val="baseline"/>
        <w:rPr>
          <w:rFonts w:hint="eastAsia" w:ascii="黑体" w:hAnsi="黑体" w:eastAsia="黑体"/>
          <w:color w:val="000000"/>
          <w:sz w:val="30"/>
          <w:szCs w:val="30"/>
        </w:rPr>
      </w:pPr>
      <w:r>
        <w:rPr>
          <w:rFonts w:hint="eastAsia" w:ascii="黑体" w:hAnsi="黑体" w:eastAsia="黑体"/>
          <w:color w:val="000000"/>
          <w:sz w:val="30"/>
          <w:szCs w:val="30"/>
        </w:rPr>
        <w:t>二、单位存在的内部控制问题及其整改情况</w:t>
      </w:r>
    </w:p>
    <w:p w14:paraId="7BD00A2F">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（一）</w:t>
      </w:r>
      <w:r>
        <w:rPr>
          <w:rFonts w:hint="eastAsia" w:ascii="仿宋_GB2312" w:hAnsi="黑体" w:eastAsia="仿宋_GB2312"/>
          <w:color w:val="000000"/>
          <w:sz w:val="30"/>
          <w:szCs w:val="30"/>
          <w:lang w:eastAsia="zh-CN"/>
        </w:rPr>
        <w:t>2024</w:t>
      </w:r>
      <w:r>
        <w:rPr>
          <w:rFonts w:hint="eastAsia" w:ascii="仿宋_GB2312" w:hAnsi="黑体" w:eastAsia="仿宋_GB2312"/>
          <w:color w:val="000000"/>
          <w:sz w:val="30"/>
          <w:szCs w:val="30"/>
        </w:rPr>
        <w:t>年度单位内部控制自我评价以及财政部门、主管部门组织的内部控制外部评价发现问题及其整改情况。</w:t>
      </w:r>
    </w:p>
    <w:p w14:paraId="6F11F91D">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存在问题：一是内部控制观念淡薄，对内控制度缺乏正确的认识，内控意识不强，重发展、轻控制，对内部控制知识缺乏基本了解，把内部控制仅看成是财务部门的事，对建立内部控制缺乏积极性、主动性。二是缺乏必要的内部监督机制，对内部控制的监控力度不够，监督考核机制不到位，内审机构大多与会计部门平行。内部审计仅限于对财务控制的监督，缺乏对内部控制的设计和运行的有效性分析，以及做出客观公正的评价。三是内部控制制度不完善，缺乏系统的内控制度体系，内控制度涉及的范围缺乏全面性，未能包含所有人员和业务环节，仅局限于财务管理制定、会计核算管理制定，对内部控制的设计、运行和监督等问题缺乏全面性和深层次的思考，内控发挥不出应有的效果。      整改措施：一是增强内控意识，强化单位负责人的会计与内控责任单位负责人在单位内部控制体系中居于主导地位。按照《会计法》和《内部会计控制基本规范》的规定，单位负责人是单位财务与会计工作的第一责任主体，对本单位财务会计报告的真实性、完整性以及内部控制制度的合理性、有效性负主要责任。二是加强单位内部审计监督重视内部审计控制，真正落实责任制，以保证内部会计控制制度的顺利、有效运行。通过对内部会计制度执行情况的定期检查和监督，及时发现内部会计控制中的漏洞和隐患，尤其是要针对发展中财务及会计核算上出现的新问题、新情况，认真研究，不断发现和改正问题，可以把风险消灭在萌芽状态，防止经济违法，这是对单位内部控制执行情况的再监督，也是保护干警的主要途径。三是建立健全内控制度根据《会计法》、《内部控制规范》的相关规定建立适合本单位的内部控制制度。找准失控环节，明确自控重点，重视伦理道德规范建设，建立良好的单位文化氛围，对于预算管理、资金拨付与费用支出管理、报销审批程序以及对错误核算与错误支出的纠正等经济活动方面，确定单位内控的重点和目标，设立合理的组织结构，确认相关的管理职能和关系，为每个部门划分责任权限，明确建立授权和分配责任的方法，因事设人，责任到位，且责权对等，以增加组织的控制意识。</w:t>
      </w:r>
    </w:p>
    <w:p w14:paraId="29C37AFB">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（二）</w:t>
      </w:r>
      <w:r>
        <w:rPr>
          <w:rFonts w:hint="eastAsia" w:ascii="仿宋_GB2312" w:hAnsi="黑体" w:eastAsia="仿宋_GB2312"/>
          <w:color w:val="000000"/>
          <w:sz w:val="30"/>
          <w:szCs w:val="30"/>
          <w:lang w:eastAsia="zh-CN"/>
        </w:rPr>
        <w:t>2024</w:t>
      </w:r>
      <w:r>
        <w:rPr>
          <w:rFonts w:hint="eastAsia" w:ascii="仿宋_GB2312" w:hAnsi="黑体" w:eastAsia="仿宋_GB2312"/>
          <w:color w:val="000000"/>
          <w:sz w:val="30"/>
          <w:szCs w:val="30"/>
        </w:rPr>
        <w:t>年度单位巡视</w:t>
      </w:r>
      <w:r>
        <w:rPr>
          <w:rFonts w:hint="eastAsia" w:ascii="仿宋_GB2312" w:hAnsi="黑体" w:eastAsia="仿宋_GB2312"/>
          <w:color w:val="000000"/>
          <w:sz w:val="30"/>
          <w:szCs w:val="30"/>
          <w:lang w:val="en-US" w:eastAsia="zh-CN"/>
        </w:rPr>
        <w:t>巡察</w:t>
      </w:r>
      <w:r>
        <w:rPr>
          <w:rFonts w:hint="eastAsia" w:ascii="仿宋_GB2312" w:hAnsi="黑体" w:eastAsia="仿宋_GB2312"/>
          <w:color w:val="000000"/>
          <w:sz w:val="30"/>
          <w:szCs w:val="30"/>
        </w:rPr>
        <w:t>、纪检监察、审计、财会监督等工作发现的与内部控制相关问题及其整改情况。</w:t>
      </w:r>
    </w:p>
    <w:p w14:paraId="68B25AAF">
      <w:pPr>
        <w:autoSpaceDE w:val="0"/>
        <w:autoSpaceDN w:val="0"/>
        <w:ind w:firstLine="567"/>
        <w:textAlignment w:val="baseline"/>
        <w:rPr>
          <w:rFonts w:hint="eastAsia" w:ascii="仿宋_GB2312" w:hAnsi="黑体" w:eastAsia="仿宋_GB2312"/>
          <w:color w:val="000000"/>
          <w:sz w:val="30"/>
          <w:szCs w:val="30"/>
          <w:lang w:eastAsia="zh-CN"/>
        </w:rPr>
      </w:pPr>
      <w:r>
        <w:rPr>
          <w:rFonts w:hint="eastAsia" w:ascii="仿宋_GB2312" w:hAnsi="黑体" w:eastAsia="仿宋_GB2312"/>
          <w:color w:val="000000"/>
          <w:sz w:val="30"/>
          <w:szCs w:val="30"/>
          <w:lang w:eastAsia="zh-CN"/>
        </w:rPr>
        <w:t>无</w:t>
      </w:r>
    </w:p>
    <w:p w14:paraId="4936B7FE">
      <w:pPr>
        <w:autoSpaceDE w:val="0"/>
        <w:autoSpaceDN w:val="0"/>
        <w:ind w:firstLine="606" w:firstLineChars="202"/>
        <w:textAlignment w:val="baseline"/>
        <w:rPr>
          <w:rFonts w:hint="eastAsia" w:ascii="黑体" w:hAnsi="黑体" w:eastAsia="黑体"/>
          <w:color w:val="000000"/>
          <w:sz w:val="30"/>
          <w:szCs w:val="30"/>
        </w:rPr>
      </w:pPr>
      <w:r>
        <w:rPr>
          <w:rFonts w:hint="eastAsia" w:ascii="黑体" w:hAnsi="黑体" w:eastAsia="黑体"/>
          <w:color w:val="000000"/>
          <w:sz w:val="30"/>
          <w:szCs w:val="30"/>
        </w:rPr>
        <w:t>三、单位内部控制报告审核情况</w:t>
      </w:r>
    </w:p>
    <w:p w14:paraId="5AFEB7ED">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（一）报告的规范性。</w:t>
      </w:r>
    </w:p>
    <w:p w14:paraId="2C1B0310">
      <w:pPr>
        <w:autoSpaceDE w:val="0"/>
        <w:autoSpaceDN w:val="0"/>
        <w:ind w:firstLine="567"/>
        <w:textAlignment w:val="baseline"/>
        <w:rPr>
          <w:rFonts w:hint="eastAsia" w:ascii="仿宋_GB2312" w:hAnsi="黑体" w:eastAsia="仿宋_GB2312"/>
          <w:color w:val="000000"/>
          <w:sz w:val="30"/>
          <w:szCs w:val="30"/>
          <w:lang w:eastAsia="zh-CN"/>
        </w:rPr>
      </w:pPr>
      <w:r>
        <w:rPr>
          <w:rFonts w:hint="eastAsia" w:ascii="仿宋_GB2312" w:hAnsi="黑体" w:eastAsia="仿宋_GB2312"/>
          <w:color w:val="000000"/>
          <w:sz w:val="30"/>
          <w:szCs w:val="30"/>
          <w:lang w:eastAsia="zh-CN"/>
        </w:rPr>
        <w:t>报告材料完整，数据填列齐全并符合填报要求，报送手续齐全。</w:t>
      </w:r>
    </w:p>
    <w:p w14:paraId="3BE0FB70">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w:t>
      </w:r>
      <w:r>
        <w:rPr>
          <w:rFonts w:hint="eastAsia" w:ascii="仿宋_GB2312" w:hAnsi="黑体" w:eastAsia="仿宋_GB2312"/>
          <w:color w:val="000000"/>
          <w:sz w:val="30"/>
          <w:szCs w:val="30"/>
          <w:lang w:val="en-US" w:eastAsia="zh-CN"/>
        </w:rPr>
        <w:t>二</w:t>
      </w:r>
      <w:r>
        <w:rPr>
          <w:rFonts w:hint="eastAsia" w:ascii="仿宋_GB2312" w:hAnsi="黑体" w:eastAsia="仿宋_GB2312"/>
          <w:color w:val="000000"/>
          <w:sz w:val="30"/>
          <w:szCs w:val="30"/>
        </w:rPr>
        <w:t>）数据的准确性。</w:t>
      </w:r>
    </w:p>
    <w:p w14:paraId="764389D7">
      <w:pPr>
        <w:autoSpaceDE w:val="0"/>
        <w:autoSpaceDN w:val="0"/>
        <w:ind w:firstLine="567"/>
        <w:textAlignment w:val="baseline"/>
        <w:rPr>
          <w:rFonts w:hint="eastAsia" w:ascii="仿宋_GB2312" w:hAnsi="黑体" w:eastAsia="仿宋_GB2312"/>
          <w:color w:val="000000"/>
          <w:sz w:val="30"/>
          <w:szCs w:val="30"/>
          <w:lang w:eastAsia="zh-CN"/>
        </w:rPr>
      </w:pPr>
      <w:r>
        <w:rPr>
          <w:rFonts w:hint="eastAsia" w:ascii="仿宋_GB2312" w:hAnsi="黑体" w:eastAsia="仿宋_GB2312"/>
          <w:color w:val="000000"/>
          <w:sz w:val="30"/>
          <w:szCs w:val="30"/>
          <w:lang w:eastAsia="zh-CN"/>
        </w:rPr>
        <w:t>上下年度数据衔接一致，两年报送的单户数量变化合理。</w:t>
      </w:r>
    </w:p>
    <w:p w14:paraId="310B0292">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w:t>
      </w:r>
      <w:r>
        <w:rPr>
          <w:rFonts w:hint="eastAsia" w:ascii="仿宋_GB2312" w:hAnsi="黑体" w:eastAsia="仿宋_GB2312"/>
          <w:color w:val="000000"/>
          <w:sz w:val="30"/>
          <w:szCs w:val="30"/>
          <w:lang w:val="en-US" w:eastAsia="zh-CN"/>
        </w:rPr>
        <w:t>三</w:t>
      </w:r>
      <w:r>
        <w:rPr>
          <w:rFonts w:hint="eastAsia" w:ascii="仿宋_GB2312" w:hAnsi="黑体" w:eastAsia="仿宋_GB2312"/>
          <w:color w:val="000000"/>
          <w:sz w:val="30"/>
          <w:szCs w:val="30"/>
        </w:rPr>
        <w:t>）</w:t>
      </w:r>
      <w:r>
        <w:rPr>
          <w:rFonts w:hint="eastAsia" w:ascii="仿宋_GB2312" w:hAnsi="黑体" w:eastAsia="仿宋_GB2312"/>
          <w:color w:val="000000"/>
          <w:sz w:val="30"/>
          <w:szCs w:val="30"/>
          <w:lang w:val="en-US" w:eastAsia="zh-CN"/>
        </w:rPr>
        <w:t>数据</w:t>
      </w:r>
      <w:r>
        <w:rPr>
          <w:rFonts w:hint="eastAsia" w:ascii="仿宋_GB2312" w:hAnsi="黑体" w:eastAsia="仿宋_GB2312"/>
          <w:color w:val="000000"/>
          <w:sz w:val="30"/>
          <w:szCs w:val="30"/>
        </w:rPr>
        <w:t>的合理性。</w:t>
      </w:r>
    </w:p>
    <w:p w14:paraId="648388D8">
      <w:pPr>
        <w:autoSpaceDE w:val="0"/>
        <w:autoSpaceDN w:val="0"/>
        <w:ind w:firstLine="567"/>
        <w:textAlignment w:val="baseline"/>
        <w:rPr>
          <w:rFonts w:hint="eastAsia" w:ascii="仿宋_GB2312" w:hAnsi="黑体" w:eastAsia="仿宋_GB2312"/>
          <w:color w:val="000000"/>
          <w:sz w:val="30"/>
          <w:szCs w:val="30"/>
          <w:lang w:eastAsia="zh-CN"/>
        </w:rPr>
      </w:pPr>
      <w:r>
        <w:rPr>
          <w:rFonts w:hint="eastAsia" w:ascii="仿宋_GB2312" w:hAnsi="黑体" w:eastAsia="仿宋_GB2312"/>
          <w:color w:val="000000"/>
          <w:sz w:val="30"/>
          <w:szCs w:val="30"/>
          <w:lang w:eastAsia="zh-CN"/>
        </w:rPr>
        <w:t>填列相关数据与决算报表、国有资产报表口径相同数据保持一致。</w:t>
      </w:r>
    </w:p>
    <w:p w14:paraId="44145122">
      <w:pPr>
        <w:autoSpaceDE w:val="0"/>
        <w:autoSpaceDN w:val="0"/>
        <w:ind w:firstLine="606" w:firstLineChars="202"/>
        <w:textAlignment w:val="baseline"/>
        <w:rPr>
          <w:rFonts w:hint="eastAsia" w:ascii="黑体" w:hAnsi="黑体" w:eastAsia="黑体"/>
          <w:color w:val="000000"/>
          <w:sz w:val="30"/>
          <w:szCs w:val="30"/>
        </w:rPr>
      </w:pPr>
      <w:r>
        <w:rPr>
          <w:rFonts w:hint="eastAsia" w:ascii="黑体" w:hAnsi="黑体" w:eastAsia="黑体"/>
          <w:color w:val="000000"/>
          <w:sz w:val="30"/>
          <w:szCs w:val="30"/>
        </w:rPr>
        <w:t>四、单位内部控制工作的经验做法和取得的成效</w:t>
      </w:r>
    </w:p>
    <w:p w14:paraId="4478211E">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（一）单位在推动内部控制工作中总结出的有关经验做法。</w:t>
      </w:r>
    </w:p>
    <w:p w14:paraId="2355B4AD">
      <w:pPr>
        <w:autoSpaceDE w:val="0"/>
        <w:autoSpaceDN w:val="0"/>
        <w:ind w:firstLine="567"/>
        <w:textAlignment w:val="baseline"/>
        <w:rPr>
          <w:rFonts w:hint="eastAsia" w:ascii="仿宋_GB2312" w:hAnsi="黑体" w:eastAsia="仿宋_GB2312"/>
          <w:color w:val="000000"/>
          <w:sz w:val="30"/>
          <w:szCs w:val="30"/>
          <w:lang w:eastAsia="zh-CN"/>
        </w:rPr>
      </w:pPr>
      <w:r>
        <w:rPr>
          <w:rFonts w:hint="eastAsia" w:ascii="仿宋_GB2312" w:hAnsi="黑体" w:eastAsia="仿宋_GB2312"/>
          <w:color w:val="000000"/>
          <w:sz w:val="30"/>
          <w:szCs w:val="30"/>
          <w:lang w:eastAsia="zh-CN"/>
        </w:rPr>
        <w:t>1、成立领导小组，作为内控抓手。单位内控是一个复杂的体系，工作涉及到预算业务、收支业务、采购业务、资产管理、建设项目、合同管理、内外监督等各项经济活动，需要内部各处室的协作和配合。工作中与党风廉政建设密切结合，使单位领导树立起风险防控意识，为内控工作的推进奠定了基础。成立了内部控制规范领导小组。领导小组下设内控工作办公室，警务保障室牵头协调内部控制的建立与实施工作，警务督查大队负责内部控制的督查监督工作，各报账单位为内部控制的具体执行机构，积极配合内控工作办公室建立和实施内部控制，加强内部控制的建立和实施情况进行监督，及时发现并指出局内部控制管理中的问题和薄弱环节，确保局内部控制体系的有效运行。       2、拟定工作方案，明确推进计划。宣传发动，主要包括学习内控相关知识，制定内控工作方案。组织培训、召开会议，梳理制度流程、费用支出，风险分析、建立控制机制，优化制度、流程、表单等。汇编内控规范管理手册，汇编经费支出管理指南，开展内控工作总结、汇报等。发布内控手册、费用指南，按照手册、指南实施业务，监督检查、开展内控评价，组织开展风险评估。收集信息化建设需求，部署初始化信息系统，试运行内控信息系统。</w:t>
      </w:r>
    </w:p>
    <w:p w14:paraId="5E253650">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（二）单位建立与实施内部控制后取得的有关成效。</w:t>
      </w:r>
    </w:p>
    <w:p w14:paraId="547D93C4">
      <w:pPr>
        <w:autoSpaceDE w:val="0"/>
        <w:autoSpaceDN w:val="0"/>
        <w:ind w:firstLine="567"/>
        <w:textAlignment w:val="baseline"/>
        <w:rPr>
          <w:rFonts w:hint="eastAsia" w:ascii="仿宋_GB2312" w:hAnsi="黑体" w:eastAsia="仿宋_GB2312"/>
          <w:color w:val="000000"/>
          <w:sz w:val="30"/>
          <w:szCs w:val="30"/>
          <w:lang w:eastAsia="zh-CN"/>
        </w:rPr>
      </w:pPr>
      <w:r>
        <w:rPr>
          <w:rFonts w:hint="eastAsia" w:ascii="仿宋_GB2312" w:hAnsi="黑体" w:eastAsia="仿宋_GB2312"/>
          <w:color w:val="000000"/>
          <w:sz w:val="30"/>
          <w:szCs w:val="30"/>
          <w:lang w:eastAsia="zh-CN"/>
        </w:rPr>
        <w:t>构建内控机制，保障内控实施。建立了单位层面的内控运行制约机制。梳理了单位主要经济业务管理制度及流程。汇编内控管理工作手册。汇总整理《内控规范管理手册》，共分为手册说明、单位层面内控概况、业务层面内控实施、内控监督评价五个部分，做到经济业务管理规范有序，内控管理职责清晰，提高单位人员工作效率，实现内部管理的规范化、法治化和信息化。通过信息化对制度和流程进行"固化"。 要保障内控真正落地，信息化是实施内控的最重要手段。沅江市公安局在信息系统建设中将内控理念嵌入信息系统中，将制度和流程进行"固化"并达到常态化，真正实现从"人治"管理向"法治"管理和科学管理的转变。</w:t>
      </w:r>
    </w:p>
    <w:p w14:paraId="11549579">
      <w:pPr>
        <w:autoSpaceDE w:val="0"/>
        <w:autoSpaceDN w:val="0"/>
        <w:ind w:firstLine="606" w:firstLineChars="202"/>
        <w:textAlignment w:val="baseline"/>
        <w:rPr>
          <w:rFonts w:hint="eastAsia" w:ascii="黑体" w:hAnsi="黑体" w:eastAsia="黑体"/>
          <w:color w:val="000000"/>
          <w:sz w:val="30"/>
          <w:szCs w:val="30"/>
        </w:rPr>
      </w:pPr>
      <w:r>
        <w:rPr>
          <w:rFonts w:hint="eastAsia" w:ascii="黑体" w:hAnsi="黑体" w:eastAsia="黑体"/>
          <w:color w:val="000000"/>
          <w:sz w:val="30"/>
          <w:szCs w:val="30"/>
        </w:rPr>
        <w:t>五、有关意见建议</w:t>
      </w:r>
    </w:p>
    <w:p w14:paraId="6E0FE8CD">
      <w:pPr>
        <w:autoSpaceDE w:val="0"/>
        <w:autoSpaceDN w:val="0"/>
        <w:ind w:firstLine="567"/>
        <w:textAlignment w:val="baseline"/>
        <w:rPr>
          <w:rFonts w:hint="eastAsia" w:ascii="仿宋_GB2312" w:hAnsi="黑体" w:eastAsia="仿宋_GB2312"/>
          <w:color w:val="000000"/>
          <w:sz w:val="30"/>
          <w:szCs w:val="30"/>
          <w:lang w:eastAsia="zh-CN"/>
        </w:rPr>
      </w:pPr>
      <w:r>
        <w:rPr>
          <w:rFonts w:hint="eastAsia" w:ascii="仿宋_GB2312" w:hAnsi="黑体" w:eastAsia="仿宋_GB2312"/>
          <w:color w:val="000000"/>
          <w:sz w:val="30"/>
          <w:szCs w:val="30"/>
          <w:lang w:eastAsia="zh-CN"/>
        </w:rPr>
        <w:t>1、强化第一责任人意识，重视抓好内控管理。行政单位主要负责人应当充分了解此项工作的重要性，把强化内控管理工作放在保证单位经济活动合法合规、保证资产安全及有效使用、防范和预防舞弊腐败的认识高度上去，起到主导作用，经常过问并监督。加大教育宣传，把内部控制的管理理念传导致所有干部职工，在具体的工作中运用好内控控制方法，逐渐形成良好的内部控制氛围。       2、加强风险评估，做好与实际的结合。在建立与实施内部控制时，首先应坚持每年开展一次风险评估，找到内部控制的薄弱点和关键点，要重点关注重要业务事项，特别是涉及内部权力集中的重点领域和关键岗位，结合自身的业务特点和管理需要建立与与单位的业务性质、业务范围、管理架构、经济活动、风险水平及其所处的内外部环境相适应的内部控制制度，不能照搬照抄，不切实际。        3、做好内部控制的协调推进，综合用好各种控制方法。内部控制涉及单位层面和业务活动两方面，在其落实过程中并不仅仅是财务管理部门的事，实际上是贯穿于行政事业单位的各个层面，最终在财务管理的业务某方面反映出来。所以，应该重视不同的内部控制方法在不同层面发挥的作用，综合施责，从源头起实行权责对等、建立相互制约和监督的工作机制，注重过程监管，强化预算控制、单据控制和会计控制，形成有效的风险评估和防范机制。</w:t>
      </w:r>
    </w:p>
    <w:p w14:paraId="3591D3CD">
      <w:pPr>
        <w:rPr>
          <w:rFonts w:ascii="黑体" w:eastAsia="黑体"/>
          <w:sz w:val="24"/>
        </w:rPr>
      </w:pPr>
      <w:r>
        <w:rPr>
          <w:rFonts w:hint="eastAsia" w:eastAsia="仿宋_GB2312" w:cs="仿宋_GB2312"/>
          <w:color w:val="000000"/>
          <w:spacing w:val="4"/>
          <w:sz w:val="30"/>
          <w:szCs w:val="30"/>
        </w:rPr>
        <w:br w:type="page"/>
      </w:r>
      <w:r>
        <w:rPr>
          <w:rFonts w:hint="eastAsia" w:eastAsia="仿宋_GB2312" w:cs="仿宋_GB2312"/>
          <w:color w:val="000000"/>
          <w:spacing w:val="4"/>
          <w:sz w:val="30"/>
          <w:szCs w:val="30"/>
        </w:rPr>
        <w:t>附表</w:t>
      </w:r>
    </w:p>
    <w:p w14:paraId="66A019CF">
      <w:pPr>
        <w:tabs>
          <w:tab w:val="left" w:pos="851"/>
        </w:tabs>
        <w:spacing w:after="156" w:afterLines="50" w:line="360" w:lineRule="auto"/>
        <w:jc w:val="center"/>
        <w:rPr>
          <w:rFonts w:ascii="黑体" w:eastAsia="黑体" w:cs="方正小标宋简体"/>
          <w:color w:val="000000"/>
          <w:spacing w:val="8"/>
          <w:sz w:val="36"/>
          <w:szCs w:val="36"/>
        </w:rPr>
      </w:pPr>
      <w:r>
        <w:rPr>
          <w:rFonts w:hint="eastAsia" w:ascii="黑体" w:eastAsia="黑体" w:cs="方正小标宋简体"/>
          <w:color w:val="000000"/>
          <w:spacing w:val="8"/>
          <w:sz w:val="36"/>
          <w:szCs w:val="36"/>
        </w:rPr>
        <w:t>一、单位基本情况</w:t>
      </w:r>
    </w:p>
    <w:tbl>
      <w:tblPr>
        <w:tblStyle w:val="11"/>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2411"/>
        <w:gridCol w:w="1658"/>
        <w:gridCol w:w="2573"/>
      </w:tblGrid>
      <w:tr w14:paraId="4741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97" w:type="dxa"/>
            <w:vAlign w:val="center"/>
          </w:tcPr>
          <w:p w14:paraId="26471239">
            <w:pPr>
              <w:spacing w:line="280" w:lineRule="exact"/>
              <w:jc w:val="center"/>
              <w:rPr>
                <w:rFonts w:eastAsia="仿宋_GB2312"/>
                <w:color w:val="000000"/>
                <w:sz w:val="24"/>
              </w:rPr>
            </w:pPr>
            <w:r>
              <w:rPr>
                <w:rFonts w:hint="eastAsia" w:ascii="仿宋" w:hAnsi="仿宋" w:eastAsia="仿宋"/>
                <w:color w:val="000000"/>
                <w:sz w:val="24"/>
              </w:rPr>
              <w:t>组织机构代码</w:t>
            </w:r>
          </w:p>
        </w:tc>
        <w:tc>
          <w:tcPr>
            <w:tcW w:w="2411" w:type="dxa"/>
            <w:vAlign w:val="center"/>
          </w:tcPr>
          <w:p w14:paraId="3DD65F87">
            <w:pPr>
              <w:spacing w:line="280" w:lineRule="exact"/>
              <w:jc w:val="left"/>
              <w:rPr>
                <w:rFonts w:hint="eastAsia" w:eastAsia="楷体_GB2312" w:cs="楷体_GB2312"/>
                <w:color w:val="000000"/>
                <w:sz w:val="24"/>
                <w:szCs w:val="24"/>
                <w:lang w:eastAsia="zh-CN"/>
              </w:rPr>
            </w:pPr>
            <w:r>
              <w:rPr>
                <w:rFonts w:hint="eastAsia" w:eastAsia="楷体_GB2312" w:cs="楷体_GB2312"/>
                <w:color w:val="000000"/>
                <w:sz w:val="24"/>
                <w:szCs w:val="24"/>
                <w:lang w:eastAsia="zh-CN"/>
              </w:rPr>
              <w:t>446924371</w:t>
            </w:r>
          </w:p>
        </w:tc>
        <w:tc>
          <w:tcPr>
            <w:tcW w:w="1658" w:type="dxa"/>
            <w:vAlign w:val="center"/>
          </w:tcPr>
          <w:p w14:paraId="6AD774A3">
            <w:pPr>
              <w:spacing w:line="280" w:lineRule="exact"/>
              <w:jc w:val="center"/>
              <w:rPr>
                <w:rFonts w:eastAsia="仿宋_GB2312"/>
                <w:color w:val="000000"/>
                <w:sz w:val="24"/>
              </w:rPr>
            </w:pPr>
            <w:r>
              <w:rPr>
                <w:rFonts w:hint="eastAsia" w:ascii="仿宋" w:hAnsi="仿宋" w:eastAsia="仿宋"/>
                <w:color w:val="000000"/>
                <w:sz w:val="24"/>
              </w:rPr>
              <w:t>基本性质</w:t>
            </w:r>
          </w:p>
        </w:tc>
        <w:tc>
          <w:tcPr>
            <w:tcW w:w="2573" w:type="dxa"/>
            <w:vAlign w:val="center"/>
          </w:tcPr>
          <w:p w14:paraId="16C08057">
            <w:pPr>
              <w:spacing w:line="280" w:lineRule="exact"/>
              <w:jc w:val="left"/>
              <w:rPr>
                <w:rFonts w:hint="eastAsia" w:eastAsia="楷体_GB2312" w:cs="楷体_GB2312"/>
                <w:color w:val="000000"/>
                <w:sz w:val="24"/>
                <w:szCs w:val="24"/>
                <w:lang w:eastAsia="zh-CN"/>
              </w:rPr>
            </w:pPr>
            <w:r>
              <w:rPr>
                <w:rFonts w:hint="eastAsia" w:eastAsia="楷体_GB2312" w:cs="楷体_GB2312"/>
                <w:color w:val="000000"/>
                <w:sz w:val="24"/>
                <w:szCs w:val="24"/>
                <w:lang w:eastAsia="zh-CN"/>
              </w:rPr>
              <w:t>行政单位</w:t>
            </w:r>
          </w:p>
        </w:tc>
      </w:tr>
      <w:tr w14:paraId="3080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897" w:type="dxa"/>
            <w:vAlign w:val="center"/>
          </w:tcPr>
          <w:p w14:paraId="0903EC09">
            <w:pPr>
              <w:spacing w:line="280" w:lineRule="exact"/>
              <w:jc w:val="center"/>
              <w:rPr>
                <w:rFonts w:eastAsia="仿宋_GB2312"/>
                <w:color w:val="000000"/>
                <w:sz w:val="24"/>
              </w:rPr>
            </w:pPr>
            <w:r>
              <w:rPr>
                <w:rFonts w:hint="eastAsia" w:ascii="仿宋" w:hAnsi="仿宋" w:eastAsia="仿宋"/>
                <w:color w:val="000000"/>
                <w:sz w:val="24"/>
              </w:rPr>
              <w:t>单位预算级次</w:t>
            </w:r>
          </w:p>
        </w:tc>
        <w:tc>
          <w:tcPr>
            <w:tcW w:w="2411" w:type="dxa"/>
            <w:vAlign w:val="center"/>
          </w:tcPr>
          <w:p w14:paraId="00B0D844">
            <w:pPr>
              <w:spacing w:line="280" w:lineRule="exact"/>
              <w:jc w:val="left"/>
              <w:rPr>
                <w:rFonts w:hint="eastAsia" w:eastAsia="楷体_GB2312" w:cs="楷体_GB2312"/>
                <w:color w:val="000000"/>
                <w:sz w:val="24"/>
                <w:szCs w:val="24"/>
                <w:lang w:eastAsia="zh-CN"/>
              </w:rPr>
            </w:pPr>
            <w:r>
              <w:rPr>
                <w:rFonts w:hint="eastAsia" w:eastAsia="楷体_GB2312" w:cs="楷体_GB2312"/>
                <w:color w:val="000000"/>
                <w:sz w:val="24"/>
                <w:szCs w:val="24"/>
                <w:lang w:eastAsia="zh-CN"/>
              </w:rPr>
              <w:t>一级预算单位</w:t>
            </w:r>
          </w:p>
        </w:tc>
        <w:tc>
          <w:tcPr>
            <w:tcW w:w="1658" w:type="dxa"/>
            <w:vAlign w:val="center"/>
          </w:tcPr>
          <w:p w14:paraId="6798E7A4">
            <w:pPr>
              <w:spacing w:line="280" w:lineRule="exact"/>
              <w:jc w:val="center"/>
              <w:rPr>
                <w:rFonts w:eastAsia="仿宋_GB2312"/>
                <w:color w:val="000000"/>
                <w:sz w:val="24"/>
              </w:rPr>
            </w:pPr>
            <w:r>
              <w:rPr>
                <w:rFonts w:hint="eastAsia" w:ascii="仿宋" w:hAnsi="仿宋" w:eastAsia="仿宋"/>
                <w:color w:val="000000"/>
                <w:sz w:val="24"/>
              </w:rPr>
              <w:t>预算级次</w:t>
            </w:r>
          </w:p>
        </w:tc>
        <w:tc>
          <w:tcPr>
            <w:tcW w:w="2573" w:type="dxa"/>
            <w:vAlign w:val="center"/>
          </w:tcPr>
          <w:p w14:paraId="1386EA66">
            <w:pPr>
              <w:spacing w:line="280" w:lineRule="exact"/>
              <w:jc w:val="left"/>
              <w:rPr>
                <w:rFonts w:hint="eastAsia" w:eastAsia="楷体_GB2312" w:cs="楷体_GB2312"/>
                <w:color w:val="000000"/>
                <w:sz w:val="24"/>
                <w:szCs w:val="24"/>
                <w:lang w:eastAsia="zh-CN"/>
              </w:rPr>
            </w:pPr>
            <w:r>
              <w:rPr>
                <w:rFonts w:hint="eastAsia" w:eastAsia="楷体_GB2312" w:cs="楷体_GB2312"/>
                <w:color w:val="000000"/>
                <w:sz w:val="24"/>
                <w:szCs w:val="24"/>
                <w:lang w:eastAsia="zh-CN"/>
              </w:rPr>
              <w:t>5</w:t>
            </w:r>
            <w:r>
              <w:rPr>
                <w:rFonts w:hint="eastAsia" w:eastAsia="楷体_GB2312" w:cs="楷体_GB2312"/>
                <w:color w:val="000000"/>
                <w:sz w:val="24"/>
                <w:szCs w:val="24"/>
                <w:lang w:val="en-US" w:eastAsia="zh-CN"/>
              </w:rPr>
              <w:t xml:space="preserve"> </w:t>
            </w:r>
            <w:r>
              <w:rPr>
                <w:rFonts w:hint="eastAsia" w:eastAsia="楷体_GB2312" w:cs="楷体_GB2312"/>
                <w:color w:val="000000"/>
                <w:sz w:val="24"/>
                <w:szCs w:val="24"/>
                <w:lang w:eastAsia="zh-CN"/>
              </w:rPr>
              <w:t>县区级</w:t>
            </w:r>
          </w:p>
        </w:tc>
      </w:tr>
      <w:tr w14:paraId="4B49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97" w:type="dxa"/>
            <w:vAlign w:val="center"/>
          </w:tcPr>
          <w:p w14:paraId="3B2139F4">
            <w:pPr>
              <w:spacing w:line="280" w:lineRule="exact"/>
              <w:jc w:val="center"/>
              <w:rPr>
                <w:rFonts w:eastAsia="仿宋_GB2312"/>
                <w:color w:val="000000"/>
                <w:sz w:val="24"/>
              </w:rPr>
            </w:pPr>
            <w:r>
              <w:rPr>
                <w:rFonts w:hint="eastAsia" w:ascii="仿宋" w:hAnsi="仿宋" w:eastAsia="仿宋"/>
                <w:color w:val="000000"/>
                <w:sz w:val="24"/>
              </w:rPr>
              <w:t>支出功能分类</w:t>
            </w:r>
          </w:p>
        </w:tc>
        <w:tc>
          <w:tcPr>
            <w:tcW w:w="2411" w:type="dxa"/>
            <w:vAlign w:val="center"/>
          </w:tcPr>
          <w:p w14:paraId="601F40E0">
            <w:pPr>
              <w:spacing w:line="280" w:lineRule="exact"/>
              <w:jc w:val="left"/>
              <w:rPr>
                <w:rFonts w:hint="eastAsia" w:eastAsia="楷体_GB2312" w:cs="楷体_GB2312"/>
                <w:color w:val="000000"/>
                <w:sz w:val="24"/>
                <w:szCs w:val="24"/>
                <w:lang w:eastAsia="zh-CN"/>
              </w:rPr>
            </w:pPr>
            <w:r>
              <w:rPr>
                <w:rFonts w:hint="eastAsia" w:eastAsia="楷体_GB2312" w:cs="楷体_GB2312"/>
                <w:color w:val="000000"/>
                <w:sz w:val="24"/>
                <w:szCs w:val="24"/>
                <w:lang w:eastAsia="zh-CN"/>
              </w:rPr>
              <w:t>行政运行</w:t>
            </w:r>
          </w:p>
        </w:tc>
        <w:tc>
          <w:tcPr>
            <w:tcW w:w="1658" w:type="dxa"/>
            <w:vAlign w:val="center"/>
          </w:tcPr>
          <w:p w14:paraId="1C510DB7">
            <w:pPr>
              <w:spacing w:line="280" w:lineRule="exact"/>
              <w:jc w:val="center"/>
              <w:rPr>
                <w:rFonts w:eastAsia="仿宋_GB2312"/>
                <w:color w:val="000000"/>
                <w:sz w:val="24"/>
              </w:rPr>
            </w:pPr>
            <w:r>
              <w:rPr>
                <w:rFonts w:hint="eastAsia" w:ascii="仿宋" w:hAnsi="仿宋" w:eastAsia="仿宋"/>
                <w:color w:val="000000"/>
                <w:sz w:val="24"/>
              </w:rPr>
              <w:t>年末在职人数</w:t>
            </w:r>
          </w:p>
        </w:tc>
        <w:tc>
          <w:tcPr>
            <w:tcW w:w="2573" w:type="dxa"/>
            <w:vAlign w:val="center"/>
          </w:tcPr>
          <w:p w14:paraId="5664AD4E">
            <w:pPr>
              <w:spacing w:line="280" w:lineRule="exact"/>
              <w:jc w:val="left"/>
              <w:rPr>
                <w:rFonts w:hint="eastAsia" w:eastAsia="楷体_GB2312" w:cs="楷体_GB2312"/>
                <w:color w:val="000000"/>
                <w:sz w:val="24"/>
                <w:szCs w:val="24"/>
                <w:lang w:eastAsia="zh-CN"/>
              </w:rPr>
            </w:pPr>
            <w:r>
              <w:rPr>
                <w:rFonts w:hint="eastAsia" w:eastAsia="楷体_GB2312" w:cs="楷体_GB2312"/>
                <w:color w:val="000000"/>
                <w:sz w:val="24"/>
                <w:szCs w:val="24"/>
                <w:lang w:eastAsia="zh-CN"/>
              </w:rPr>
              <w:t>69</w:t>
            </w:r>
          </w:p>
        </w:tc>
      </w:tr>
      <w:tr w14:paraId="1C14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97" w:type="dxa"/>
            <w:vAlign w:val="center"/>
          </w:tcPr>
          <w:p w14:paraId="001DB8D4">
            <w:pPr>
              <w:spacing w:line="280" w:lineRule="exact"/>
              <w:jc w:val="center"/>
              <w:rPr>
                <w:rFonts w:eastAsia="仿宋_GB2312"/>
                <w:color w:val="000000"/>
                <w:sz w:val="24"/>
              </w:rPr>
            </w:pPr>
            <w:r>
              <w:rPr>
                <w:rFonts w:hint="eastAsia" w:ascii="仿宋" w:hAnsi="仿宋" w:eastAsia="仿宋"/>
                <w:color w:val="000000"/>
                <w:sz w:val="24"/>
              </w:rPr>
              <w:t>财政区划</w:t>
            </w:r>
          </w:p>
        </w:tc>
        <w:tc>
          <w:tcPr>
            <w:tcW w:w="2411" w:type="dxa"/>
            <w:vAlign w:val="center"/>
          </w:tcPr>
          <w:p w14:paraId="33A3B9E4">
            <w:pPr>
              <w:spacing w:line="280" w:lineRule="exact"/>
              <w:jc w:val="left"/>
              <w:rPr>
                <w:rFonts w:hint="eastAsia" w:eastAsia="楷体_GB2312" w:cs="楷体_GB2312"/>
                <w:color w:val="000000"/>
                <w:sz w:val="24"/>
                <w:szCs w:val="24"/>
                <w:lang w:eastAsia="zh-CN"/>
              </w:rPr>
            </w:pPr>
            <w:r>
              <w:rPr>
                <w:rFonts w:hint="eastAsia" w:eastAsia="楷体_GB2312" w:cs="楷体_GB2312"/>
                <w:color w:val="000000"/>
                <w:sz w:val="24"/>
                <w:szCs w:val="24"/>
                <w:lang w:eastAsia="zh-CN"/>
              </w:rPr>
              <w:t>沅江市</w:t>
            </w:r>
          </w:p>
        </w:tc>
        <w:tc>
          <w:tcPr>
            <w:tcW w:w="1658" w:type="dxa"/>
            <w:vAlign w:val="center"/>
          </w:tcPr>
          <w:p w14:paraId="4E62F01D">
            <w:pPr>
              <w:spacing w:line="280" w:lineRule="exact"/>
              <w:jc w:val="center"/>
              <w:rPr>
                <w:rFonts w:eastAsia="仿宋_GB2312"/>
                <w:color w:val="000000"/>
                <w:sz w:val="24"/>
              </w:rPr>
            </w:pPr>
            <w:r>
              <w:rPr>
                <w:rFonts w:hint="eastAsia" w:eastAsia="仿宋_GB2312"/>
                <w:color w:val="000000"/>
                <w:sz w:val="24"/>
              </w:rPr>
              <w:t>部门标识码</w:t>
            </w:r>
          </w:p>
        </w:tc>
        <w:tc>
          <w:tcPr>
            <w:tcW w:w="2573" w:type="dxa"/>
            <w:vAlign w:val="center"/>
          </w:tcPr>
          <w:p w14:paraId="5BF10C57">
            <w:pPr>
              <w:spacing w:line="280" w:lineRule="exact"/>
              <w:jc w:val="left"/>
              <w:rPr>
                <w:rFonts w:hint="eastAsia" w:eastAsia="楷体_GB2312" w:cs="楷体_GB2312"/>
                <w:color w:val="000000"/>
                <w:sz w:val="24"/>
                <w:szCs w:val="24"/>
                <w:lang w:eastAsia="zh-CN"/>
              </w:rPr>
            </w:pPr>
            <w:r>
              <w:rPr>
                <w:rFonts w:hint="eastAsia" w:eastAsia="楷体_GB2312" w:cs="楷体_GB2312"/>
                <w:color w:val="000000"/>
                <w:sz w:val="24"/>
                <w:szCs w:val="24"/>
                <w:lang w:eastAsia="zh-CN"/>
              </w:rPr>
              <w:t>312</w:t>
            </w:r>
          </w:p>
        </w:tc>
      </w:tr>
      <w:tr w14:paraId="4E35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97" w:type="dxa"/>
            <w:vAlign w:val="center"/>
          </w:tcPr>
          <w:p w14:paraId="60C37AB4">
            <w:pPr>
              <w:spacing w:line="280" w:lineRule="exact"/>
              <w:jc w:val="center"/>
              <w:rPr>
                <w:rFonts w:eastAsia="仿宋_GB2312"/>
                <w:color w:val="000000"/>
                <w:sz w:val="24"/>
              </w:rPr>
            </w:pPr>
            <w:r>
              <w:rPr>
                <w:rFonts w:hint="eastAsia" w:ascii="仿宋" w:hAnsi="仿宋" w:eastAsia="仿宋"/>
                <w:color w:val="000000"/>
                <w:sz w:val="24"/>
              </w:rPr>
              <w:t>所在地区</w:t>
            </w:r>
          </w:p>
        </w:tc>
        <w:tc>
          <w:tcPr>
            <w:tcW w:w="2411" w:type="dxa"/>
            <w:vAlign w:val="center"/>
          </w:tcPr>
          <w:p w14:paraId="19B99FDD">
            <w:pPr>
              <w:spacing w:line="280" w:lineRule="exact"/>
              <w:jc w:val="left"/>
              <w:rPr>
                <w:rFonts w:hint="eastAsia" w:eastAsia="楷体_GB2312" w:cs="楷体_GB2312"/>
                <w:color w:val="000000"/>
                <w:sz w:val="24"/>
                <w:szCs w:val="24"/>
                <w:lang w:eastAsia="zh-CN"/>
              </w:rPr>
            </w:pPr>
            <w:r>
              <w:rPr>
                <w:rFonts w:hint="eastAsia" w:eastAsia="楷体_GB2312" w:cs="楷体_GB2312"/>
                <w:color w:val="000000"/>
                <w:sz w:val="24"/>
                <w:szCs w:val="24"/>
                <w:lang w:eastAsia="zh-CN"/>
              </w:rPr>
              <w:t>沅江市</w:t>
            </w:r>
          </w:p>
        </w:tc>
        <w:tc>
          <w:tcPr>
            <w:tcW w:w="1658" w:type="dxa"/>
            <w:vAlign w:val="center"/>
          </w:tcPr>
          <w:p w14:paraId="0912B1F9">
            <w:pPr>
              <w:spacing w:line="280" w:lineRule="exact"/>
              <w:jc w:val="center"/>
              <w:rPr>
                <w:rFonts w:eastAsia="仿宋_GB2312"/>
                <w:color w:val="000000"/>
                <w:sz w:val="24"/>
              </w:rPr>
            </w:pPr>
            <w:r>
              <w:rPr>
                <w:rFonts w:hint="eastAsia" w:ascii="仿宋" w:hAnsi="仿宋" w:eastAsia="仿宋"/>
                <w:color w:val="000000"/>
                <w:sz w:val="24"/>
              </w:rPr>
              <w:t>财政预算代码</w:t>
            </w:r>
          </w:p>
        </w:tc>
        <w:tc>
          <w:tcPr>
            <w:tcW w:w="2573" w:type="dxa"/>
            <w:vAlign w:val="center"/>
          </w:tcPr>
          <w:p w14:paraId="5D94A13B">
            <w:pPr>
              <w:spacing w:line="280" w:lineRule="exact"/>
              <w:jc w:val="left"/>
              <w:rPr>
                <w:rFonts w:hint="eastAsia" w:eastAsia="楷体_GB2312" w:cs="楷体_GB2312"/>
                <w:color w:val="000000"/>
                <w:sz w:val="24"/>
                <w:szCs w:val="24"/>
                <w:lang w:eastAsia="zh-CN"/>
              </w:rPr>
            </w:pPr>
            <w:r>
              <w:rPr>
                <w:rFonts w:hint="eastAsia" w:eastAsia="楷体_GB2312" w:cs="楷体_GB2312"/>
                <w:color w:val="000000"/>
                <w:sz w:val="24"/>
                <w:szCs w:val="24"/>
                <w:lang w:eastAsia="zh-CN"/>
              </w:rPr>
              <w:t>111001</w:t>
            </w:r>
          </w:p>
        </w:tc>
      </w:tr>
    </w:tbl>
    <w:p w14:paraId="186104E0">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说明：组织机构代码根据各级技术监督部门核发的机关、团体、事业单位代码证书规定的9位码填列。单位如已取得统一社会信用代码，需按统一社会信用代码第9－17位信息填列。</w:t>
      </w:r>
    </w:p>
    <w:p w14:paraId="44079E8C">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单位预算级次填列部门和单位按照预算管理权限和经费领拨关系所确定的预算级次，与部门决算封面上单位预算级次一致。非预算单位此项填报“无”。</w:t>
      </w:r>
    </w:p>
    <w:p w14:paraId="7FF0A50A">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预算级次按单位预算分级管理的级次选择填列。非预算单位填报“90.非预算单位”。</w:t>
      </w:r>
    </w:p>
    <w:p w14:paraId="078348C4">
      <w:pPr>
        <w:pStyle w:val="28"/>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支出功能分类填列部门决算《支出决算表》（财决04表）中涉及金额最多的支出功能分类科目。</w:t>
      </w:r>
    </w:p>
    <w:p w14:paraId="2A330CA0">
      <w:pPr>
        <w:pStyle w:val="28"/>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年末在职人数填列在政府编制管理部门核定的编制内、由单位人事部门管理的实有在职人数，与部门决算《年末在职实有人员表》（财决附01表）第2栏合计数一致，即“编制内实有人员”合计数。</w:t>
      </w:r>
    </w:p>
    <w:p w14:paraId="480F2791">
      <w:pPr>
        <w:pStyle w:val="28"/>
        <w:tabs>
          <w:tab w:val="left" w:pos="851"/>
        </w:tabs>
        <w:spacing w:line="360" w:lineRule="auto"/>
        <w:ind w:firstLine="480"/>
        <w:rPr>
          <w:rFonts w:eastAsia="楷体_GB2312" w:cs="楷体_GB2312"/>
          <w:sz w:val="24"/>
        </w:rPr>
      </w:pPr>
      <w:r>
        <w:rPr>
          <w:rFonts w:hint="eastAsia" w:eastAsia="楷体_GB2312" w:cs="楷体_GB2312"/>
          <w:sz w:val="24"/>
        </w:rPr>
        <w:t>财政区划以行政区划为基础，结合政府预算分级管理情况而划分的区域。开发区、园区等没有行政区划及代码的，按照《中华人民共和国行政区划代码》（GB/T 2260-2007）相应号段增设。中央预算单位的财政区划代码填“</w:t>
      </w:r>
      <w:r>
        <w:rPr>
          <w:rFonts w:eastAsia="楷体_GB2312" w:cs="楷体_GB2312"/>
          <w:sz w:val="24"/>
        </w:rPr>
        <w:t>100000000</w:t>
      </w:r>
      <w:r>
        <w:rPr>
          <w:rFonts w:hint="eastAsia" w:eastAsia="楷体_GB2312" w:cs="楷体_GB2312"/>
          <w:sz w:val="24"/>
        </w:rPr>
        <w:t>”。</w:t>
      </w:r>
    </w:p>
    <w:p w14:paraId="561178EA">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部门标识码根据国家标准《</w:t>
      </w:r>
      <w:r>
        <w:rPr>
          <w:rFonts w:eastAsia="楷体_GB2312" w:cs="楷体_GB2312"/>
          <w:color w:val="000000"/>
          <w:sz w:val="24"/>
        </w:rPr>
        <w:t>中央党政机关</w:t>
      </w:r>
      <w:r>
        <w:rPr>
          <w:rFonts w:hint="eastAsia" w:eastAsia="楷体_GB2312" w:cs="楷体_GB2312"/>
          <w:color w:val="000000"/>
          <w:sz w:val="24"/>
        </w:rPr>
        <w:t>、</w:t>
      </w:r>
      <w:r>
        <w:rPr>
          <w:rFonts w:eastAsia="楷体_GB2312" w:cs="楷体_GB2312"/>
          <w:color w:val="000000"/>
          <w:sz w:val="24"/>
        </w:rPr>
        <w:t>人民团体及其他机构名称代码</w:t>
      </w:r>
      <w:r>
        <w:rPr>
          <w:rFonts w:hint="eastAsia" w:eastAsia="楷体_GB2312" w:cs="楷体_GB2312"/>
          <w:color w:val="000000"/>
          <w:sz w:val="24"/>
        </w:rPr>
        <w:t>》（GB/T 4657-2021）填列。</w:t>
      </w:r>
    </w:p>
    <w:p w14:paraId="28A29D82">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所在地区以6位代码表示，根据国家标准《中华人民共和国行政区划代码》（GB/T 2260-2007）填列。</w:t>
      </w:r>
    </w:p>
    <w:p w14:paraId="5CCF05D9">
      <w:pPr>
        <w:pStyle w:val="28"/>
        <w:tabs>
          <w:tab w:val="left" w:pos="851"/>
        </w:tabs>
        <w:spacing w:line="360" w:lineRule="auto"/>
        <w:ind w:firstLine="480"/>
        <w:rPr>
          <w:rFonts w:ascii="楷体" w:hAnsi="楷体" w:eastAsia="楷体" w:cs="楷体"/>
          <w:sz w:val="24"/>
        </w:rPr>
      </w:pPr>
      <w:r>
        <w:rPr>
          <w:rFonts w:hint="eastAsia" w:eastAsia="楷体_GB2312" w:cs="楷体_GB2312"/>
          <w:color w:val="000000"/>
          <w:sz w:val="24"/>
        </w:rPr>
        <w:t>单位财政预算代码即预算管理一体化系统中的单位代码，中央一级预算单位按财政部编制的三位代码填列，二级预算单位为六位代码，前三位填列其一级预算单位编码，后三位由一级预算单位从001－799依次自行编制，三级及以下预算单位以此类推。地方单位的财政预算代码应与部门预算代码一致。非预算单位此项不需填报。</w:t>
      </w:r>
    </w:p>
    <w:p w14:paraId="005C5D12">
      <w:pPr>
        <w:tabs>
          <w:tab w:val="left" w:pos="851"/>
        </w:tabs>
        <w:spacing w:after="156" w:afterLines="50" w:line="360" w:lineRule="auto"/>
        <w:jc w:val="center"/>
        <w:rPr>
          <w:rFonts w:ascii="黑体" w:eastAsia="黑体" w:cs="方正小标宋简体"/>
          <w:color w:val="000000"/>
          <w:spacing w:val="8"/>
          <w:sz w:val="36"/>
          <w:szCs w:val="36"/>
        </w:rPr>
      </w:pPr>
      <w:r>
        <w:rPr>
          <w:rFonts w:hint="eastAsia" w:ascii="黑体" w:eastAsia="黑体" w:cs="方正小标宋简体"/>
          <w:color w:val="000000"/>
          <w:spacing w:val="8"/>
          <w:sz w:val="36"/>
          <w:szCs w:val="36"/>
        </w:rPr>
        <w:t>二、单位层面内部控制情况</w:t>
      </w:r>
    </w:p>
    <w:p w14:paraId="7CAA7C61">
      <w:pPr>
        <w:widowControl/>
        <w:tabs>
          <w:tab w:val="left" w:pos="851"/>
        </w:tabs>
        <w:spacing w:line="360" w:lineRule="auto"/>
        <w:rPr>
          <w:rFonts w:ascii="黑体" w:eastAsia="黑体" w:cs="方正小标宋简体"/>
          <w:color w:val="000000"/>
          <w:spacing w:val="8"/>
          <w:sz w:val="24"/>
          <w:szCs w:val="24"/>
        </w:rPr>
      </w:pPr>
      <w:r>
        <w:rPr>
          <w:rFonts w:hint="eastAsia" w:eastAsia="仿宋_GB2312" w:cs="仿宋_GB2312"/>
          <w:color w:val="000000"/>
          <w:spacing w:val="-12"/>
          <w:sz w:val="28"/>
          <w:szCs w:val="28"/>
        </w:rPr>
        <w:t>（一）内部控制机构组成情况</w:t>
      </w:r>
      <w:r>
        <w:rPr>
          <w:rFonts w:hint="eastAsia" w:eastAsia="楷体_GB2312" w:cs="楷体_GB2312"/>
          <w:color w:val="000000"/>
          <w:sz w:val="24"/>
        </w:rPr>
        <w:t xml:space="preserve"> </w:t>
      </w:r>
    </w:p>
    <w:tbl>
      <w:tblPr>
        <w:tblStyle w:val="11"/>
        <w:tblpPr w:leftFromText="180" w:rightFromText="180" w:vertAnchor="text" w:tblpXSpec="center" w:tblpY="1"/>
        <w:tblOverlap w:val="never"/>
        <w:tblW w:w="8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97"/>
        <w:gridCol w:w="1875"/>
        <w:gridCol w:w="2160"/>
        <w:gridCol w:w="1980"/>
      </w:tblGrid>
      <w:tr w14:paraId="1AD4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4" w:hRule="atLeast"/>
        </w:trPr>
        <w:tc>
          <w:tcPr>
            <w:tcW w:w="2697" w:type="dxa"/>
            <w:noWrap/>
            <w:vAlign w:val="center"/>
          </w:tcPr>
          <w:p w14:paraId="44D09463">
            <w:pPr>
              <w:spacing w:line="320" w:lineRule="exact"/>
              <w:jc w:val="center"/>
              <w:rPr>
                <w:rFonts w:hint="eastAsia" w:ascii="仿宋" w:hAnsi="仿宋" w:eastAsia="仿宋" w:cs="仿宋_GB2312"/>
                <w:color w:val="000000"/>
                <w:spacing w:val="-12"/>
                <w:sz w:val="24"/>
              </w:rPr>
            </w:pPr>
            <w:r>
              <w:rPr>
                <w:rFonts w:hint="eastAsia" w:ascii="仿宋" w:hAnsi="仿宋" w:eastAsia="仿宋" w:cs="仿宋_GB2312"/>
                <w:color w:val="000000"/>
                <w:spacing w:val="-12"/>
                <w:sz w:val="24"/>
              </w:rPr>
              <w:t>单位是否成立内部</w:t>
            </w:r>
          </w:p>
          <w:p w14:paraId="0DCC09CA">
            <w:pPr>
              <w:spacing w:line="320" w:lineRule="exact"/>
              <w:jc w:val="center"/>
              <w:rPr>
                <w:rFonts w:ascii="仿宋" w:hAnsi="仿宋" w:eastAsia="仿宋" w:cs="仿宋_GB2312"/>
                <w:color w:val="000000"/>
                <w:spacing w:val="-12"/>
                <w:sz w:val="24"/>
              </w:rPr>
            </w:pPr>
            <w:r>
              <w:rPr>
                <w:rFonts w:hint="eastAsia" w:ascii="仿宋" w:hAnsi="仿宋" w:eastAsia="仿宋" w:cs="仿宋_GB2312"/>
                <w:color w:val="000000"/>
                <w:spacing w:val="-12"/>
                <w:sz w:val="24"/>
              </w:rPr>
              <w:t>控制领导小组</w:t>
            </w:r>
          </w:p>
        </w:tc>
        <w:tc>
          <w:tcPr>
            <w:tcW w:w="1875" w:type="dxa"/>
            <w:vAlign w:val="center"/>
          </w:tcPr>
          <w:p w14:paraId="4546E625">
            <w:pPr>
              <w:spacing w:line="320" w:lineRule="exact"/>
              <w:rPr>
                <w:rFonts w:hint="eastAsia" w:ascii="仿宋" w:hAnsi="仿宋" w:eastAsia="楷体_GB2312" w:cs="楷体_GB2312"/>
                <w:color w:val="000000"/>
                <w:sz w:val="24"/>
                <w:lang w:eastAsia="zh-CN"/>
              </w:rPr>
            </w:pPr>
            <w:r>
              <w:rPr>
                <w:rFonts w:hint="eastAsia" w:ascii="楷体_GB2312" w:hAnsi="楷体_GB2312" w:eastAsia="楷体_GB2312" w:cs="楷体_GB2312"/>
                <w:color w:val="000000"/>
                <w:sz w:val="24"/>
                <w:lang w:eastAsia="zh-CN"/>
              </w:rPr>
              <w:t>是</w:t>
            </w:r>
          </w:p>
        </w:tc>
        <w:tc>
          <w:tcPr>
            <w:tcW w:w="2160" w:type="dxa"/>
            <w:vAlign w:val="center"/>
          </w:tcPr>
          <w:p w14:paraId="65DEC34C">
            <w:pPr>
              <w:spacing w:line="320" w:lineRule="exact"/>
              <w:jc w:val="center"/>
              <w:rPr>
                <w:rFonts w:ascii="仿宋" w:hAnsi="仿宋" w:eastAsia="仿宋" w:cs="楷体_GB2312"/>
                <w:color w:val="000000"/>
                <w:sz w:val="24"/>
              </w:rPr>
            </w:pPr>
            <w:r>
              <w:rPr>
                <w:rFonts w:hint="eastAsia" w:ascii="仿宋" w:hAnsi="仿宋" w:eastAsia="仿宋"/>
                <w:sz w:val="24"/>
              </w:rPr>
              <w:t>单位是否成立内部控制工作小组</w:t>
            </w:r>
          </w:p>
        </w:tc>
        <w:tc>
          <w:tcPr>
            <w:tcW w:w="1980" w:type="dxa"/>
            <w:vAlign w:val="center"/>
          </w:tcPr>
          <w:p w14:paraId="51418A3E">
            <w:pPr>
              <w:spacing w:line="320" w:lineRule="exact"/>
              <w:rPr>
                <w:rFonts w:hint="eastAsia" w:ascii="仿宋" w:hAnsi="仿宋" w:eastAsia="楷体_GB2312" w:cs="楷体_GB2312"/>
                <w:color w:val="000000"/>
                <w:sz w:val="24"/>
                <w:lang w:eastAsia="zh-CN"/>
              </w:rPr>
            </w:pPr>
            <w:r>
              <w:rPr>
                <w:rFonts w:hint="eastAsia" w:ascii="楷体_GB2312" w:hAnsi="楷体_GB2312" w:eastAsia="楷体_GB2312" w:cs="楷体_GB2312"/>
                <w:color w:val="000000"/>
                <w:sz w:val="24"/>
                <w:lang w:eastAsia="zh-CN"/>
              </w:rPr>
              <w:t>是</w:t>
            </w:r>
          </w:p>
        </w:tc>
      </w:tr>
      <w:tr w14:paraId="607A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6" w:hRule="atLeast"/>
        </w:trPr>
        <w:tc>
          <w:tcPr>
            <w:tcW w:w="2697" w:type="dxa"/>
            <w:tcBorders>
              <w:left w:val="single" w:color="auto" w:sz="4" w:space="0"/>
              <w:bottom w:val="single" w:color="auto" w:sz="4" w:space="0"/>
              <w:right w:val="single" w:color="auto" w:sz="4" w:space="0"/>
            </w:tcBorders>
            <w:noWrap/>
            <w:vAlign w:val="center"/>
          </w:tcPr>
          <w:p w14:paraId="56E76C6D">
            <w:pPr>
              <w:spacing w:line="320" w:lineRule="exact"/>
              <w:jc w:val="center"/>
              <w:rPr>
                <w:rFonts w:ascii="仿宋" w:hAnsi="仿宋" w:eastAsia="仿宋" w:cs="仿宋_GB2312"/>
                <w:color w:val="000000"/>
                <w:spacing w:val="-12"/>
                <w:sz w:val="24"/>
              </w:rPr>
            </w:pPr>
            <w:r>
              <w:rPr>
                <w:rFonts w:hint="eastAsia" w:ascii="仿宋" w:hAnsi="仿宋" w:eastAsia="仿宋" w:cs="仿宋_GB2312"/>
                <w:color w:val="000000"/>
                <w:spacing w:val="-12"/>
                <w:sz w:val="24"/>
              </w:rPr>
              <w:t>单位内部控制领导小组负责人为</w:t>
            </w:r>
          </w:p>
        </w:tc>
        <w:tc>
          <w:tcPr>
            <w:tcW w:w="6015" w:type="dxa"/>
            <w:gridSpan w:val="3"/>
            <w:tcBorders>
              <w:left w:val="single" w:color="auto" w:sz="4" w:space="0"/>
              <w:bottom w:val="single" w:color="auto" w:sz="4" w:space="0"/>
              <w:right w:val="single" w:color="auto" w:sz="4" w:space="0"/>
            </w:tcBorders>
            <w:vAlign w:val="center"/>
          </w:tcPr>
          <w:p w14:paraId="1EE3A2A3">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eastAsia="zh-CN"/>
              </w:rPr>
              <w:t>分管财务负责人</w:t>
            </w:r>
          </w:p>
          <w:p w14:paraId="67855D84">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rPr>
              <w:t>姓名：</w:t>
            </w:r>
            <w:r>
              <w:rPr>
                <w:rFonts w:hint="eastAsia" w:ascii="楷体_GB2312" w:hAnsi="楷体_GB2312" w:eastAsia="楷体_GB2312" w:cs="楷体_GB2312"/>
                <w:color w:val="000000"/>
                <w:sz w:val="24"/>
                <w:lang w:eastAsia="zh-CN"/>
              </w:rPr>
              <w:t>吴柏军</w:t>
            </w:r>
            <w:r>
              <w:rPr>
                <w:rFonts w:hint="eastAsia" w:ascii="楷体_GB2312" w:hAnsi="楷体_GB2312" w:eastAsia="楷体_GB2312" w:cs="楷体_GB2312"/>
                <w:color w:val="000000"/>
                <w:sz w:val="24"/>
              </w:rPr>
              <w:t xml:space="preserve"> 职务： </w:t>
            </w:r>
            <w:r>
              <w:rPr>
                <w:rFonts w:hint="eastAsia" w:ascii="楷体_GB2312" w:hAnsi="楷体_GB2312" w:eastAsia="楷体_GB2312" w:cs="楷体_GB2312"/>
                <w:color w:val="000000"/>
                <w:sz w:val="24"/>
                <w:lang w:eastAsia="zh-CN"/>
              </w:rPr>
              <w:t>副大队</w:t>
            </w:r>
          </w:p>
        </w:tc>
      </w:tr>
      <w:tr w14:paraId="6A25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9" w:hRule="atLeast"/>
        </w:trPr>
        <w:tc>
          <w:tcPr>
            <w:tcW w:w="2697" w:type="dxa"/>
            <w:tcBorders>
              <w:top w:val="single" w:color="auto" w:sz="4" w:space="0"/>
              <w:left w:val="single" w:color="auto" w:sz="4" w:space="0"/>
              <w:bottom w:val="single" w:color="auto" w:sz="4" w:space="0"/>
              <w:right w:val="single" w:color="auto" w:sz="4" w:space="0"/>
            </w:tcBorders>
            <w:noWrap/>
            <w:vAlign w:val="center"/>
          </w:tcPr>
          <w:p w14:paraId="39CA775A">
            <w:pPr>
              <w:spacing w:line="320" w:lineRule="exact"/>
              <w:jc w:val="center"/>
              <w:rPr>
                <w:rFonts w:ascii="仿宋" w:hAnsi="仿宋" w:eastAsia="仿宋" w:cs="仿宋_GB2312"/>
                <w:color w:val="000000"/>
                <w:spacing w:val="-12"/>
                <w:sz w:val="24"/>
              </w:rPr>
            </w:pPr>
            <w:r>
              <w:rPr>
                <w:rFonts w:hint="eastAsia" w:ascii="仿宋" w:hAnsi="仿宋" w:eastAsia="仿宋" w:cs="仿宋_GB2312"/>
                <w:color w:val="000000"/>
                <w:spacing w:val="-12"/>
                <w:sz w:val="24"/>
              </w:rPr>
              <w:t>内部控制建设牵头部门设在</w:t>
            </w:r>
          </w:p>
        </w:tc>
        <w:tc>
          <w:tcPr>
            <w:tcW w:w="6015" w:type="dxa"/>
            <w:gridSpan w:val="3"/>
            <w:tcBorders>
              <w:top w:val="single" w:color="auto" w:sz="4" w:space="0"/>
              <w:left w:val="single" w:color="auto" w:sz="4" w:space="0"/>
              <w:bottom w:val="single" w:color="auto" w:sz="4" w:space="0"/>
              <w:right w:val="single" w:color="auto" w:sz="4" w:space="0"/>
            </w:tcBorders>
            <w:vAlign w:val="center"/>
          </w:tcPr>
          <w:p w14:paraId="31E33805">
            <w:pPr>
              <w:spacing w:line="320" w:lineRule="exact"/>
              <w:ind w:left="720" w:hanging="720" w:hangingChars="300"/>
              <w:jc w:val="left"/>
              <w:rPr>
                <w:rFonts w:hint="default"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eastAsia="zh-CN"/>
              </w:rPr>
              <w:t>财务部门</w:t>
            </w:r>
          </w:p>
        </w:tc>
      </w:tr>
      <w:tr w14:paraId="1E39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trPr>
        <w:tc>
          <w:tcPr>
            <w:tcW w:w="2697" w:type="dxa"/>
            <w:tcBorders>
              <w:top w:val="single" w:color="auto" w:sz="4" w:space="0"/>
              <w:left w:val="single" w:color="auto" w:sz="4" w:space="0"/>
              <w:bottom w:val="single" w:color="auto" w:sz="4" w:space="0"/>
              <w:right w:val="single" w:color="auto" w:sz="4" w:space="0"/>
            </w:tcBorders>
            <w:noWrap/>
            <w:vAlign w:val="center"/>
          </w:tcPr>
          <w:p w14:paraId="35086DF2">
            <w:pPr>
              <w:spacing w:line="320" w:lineRule="exact"/>
              <w:jc w:val="center"/>
              <w:rPr>
                <w:rFonts w:ascii="仿宋" w:hAnsi="仿宋" w:eastAsia="仿宋" w:cs="仿宋_GB2312"/>
                <w:color w:val="000000"/>
                <w:spacing w:val="-12"/>
                <w:sz w:val="24"/>
              </w:rPr>
            </w:pPr>
            <w:r>
              <w:rPr>
                <w:rFonts w:hint="eastAsia" w:ascii="仿宋" w:hAnsi="仿宋" w:eastAsia="仿宋" w:cs="仿宋_GB2312"/>
                <w:color w:val="000000"/>
                <w:spacing w:val="-12"/>
                <w:sz w:val="24"/>
              </w:rPr>
              <w:t>内部控制评价与监督部门设在</w:t>
            </w:r>
          </w:p>
        </w:tc>
        <w:tc>
          <w:tcPr>
            <w:tcW w:w="6015" w:type="dxa"/>
            <w:gridSpan w:val="3"/>
            <w:tcBorders>
              <w:top w:val="single" w:color="auto" w:sz="4" w:space="0"/>
              <w:left w:val="single" w:color="auto" w:sz="4" w:space="0"/>
              <w:bottom w:val="single" w:color="auto" w:sz="4" w:space="0"/>
              <w:right w:val="single" w:color="auto" w:sz="4" w:space="0"/>
            </w:tcBorders>
            <w:vAlign w:val="center"/>
          </w:tcPr>
          <w:p w14:paraId="72256BB0">
            <w:pPr>
              <w:spacing w:line="320" w:lineRule="exact"/>
              <w:jc w:val="left"/>
              <w:rPr>
                <w:rFonts w:hint="default"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eastAsia="zh-CN"/>
              </w:rPr>
              <w:t>内审部门</w:t>
            </w:r>
            <w:r>
              <w:rPr>
                <w:rFonts w:hint="eastAsia" w:ascii="楷体_GB2312" w:hAnsi="楷体_GB2312" w:eastAsia="楷体_GB2312" w:cs="楷体_GB2312"/>
                <w:color w:val="000000"/>
                <w:sz w:val="24"/>
                <w:lang w:val="en-US" w:eastAsia="zh-CN"/>
              </w:rPr>
              <w:t xml:space="preserve"> </w:t>
            </w:r>
          </w:p>
        </w:tc>
      </w:tr>
    </w:tbl>
    <w:p w14:paraId="0647B1B0">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说明：需上传成立内部控制相关机构的制度文件作为佐证材料。</w:t>
      </w:r>
    </w:p>
    <w:p w14:paraId="31E50521">
      <w:pPr>
        <w:widowControl/>
        <w:tabs>
          <w:tab w:val="left" w:pos="851"/>
        </w:tabs>
        <w:spacing w:line="360" w:lineRule="auto"/>
        <w:rPr>
          <w:rFonts w:eastAsia="仿宋_GB2312" w:cs="仿宋_GB2312"/>
          <w:color w:val="000000"/>
          <w:spacing w:val="-12"/>
          <w:sz w:val="28"/>
          <w:szCs w:val="28"/>
        </w:rPr>
      </w:pPr>
      <w:r>
        <w:rPr>
          <w:rFonts w:hint="eastAsia" w:eastAsia="仿宋_GB2312" w:cs="仿宋_GB2312"/>
          <w:color w:val="000000"/>
          <w:spacing w:val="-12"/>
          <w:sz w:val="28"/>
          <w:szCs w:val="28"/>
        </w:rPr>
        <w:t>（二）内部控制机构运行情况</w:t>
      </w:r>
    </w:p>
    <w:tbl>
      <w:tblPr>
        <w:tblStyle w:val="11"/>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529"/>
        <w:gridCol w:w="4126"/>
      </w:tblGrid>
      <w:tr w14:paraId="2DCE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8655" w:type="dxa"/>
            <w:gridSpan w:val="2"/>
            <w:noWrap/>
            <w:vAlign w:val="center"/>
          </w:tcPr>
          <w:p w14:paraId="74688D05">
            <w:pPr>
              <w:spacing w:line="320" w:lineRule="exact"/>
              <w:jc w:val="left"/>
              <w:rPr>
                <w:rFonts w:hint="eastAsia" w:ascii="仿宋" w:hAnsi="仿宋" w:eastAsia="楷体_GB2312" w:cs="仿宋_GB2312"/>
                <w:color w:val="000000"/>
                <w:spacing w:val="-12"/>
                <w:sz w:val="24"/>
                <w:u w:val="single"/>
                <w:lang w:eastAsia="zh-CN"/>
              </w:rPr>
            </w:pPr>
            <w:r>
              <w:rPr>
                <w:rFonts w:hint="eastAsia" w:ascii="仿宋" w:hAnsi="仿宋" w:eastAsia="仿宋" w:cs="仿宋_GB2312"/>
                <w:color w:val="000000"/>
                <w:spacing w:val="-12"/>
                <w:sz w:val="24"/>
                <w:lang w:eastAsia="zh-CN"/>
              </w:rPr>
              <w:t>2024</w:t>
            </w:r>
            <w:r>
              <w:rPr>
                <w:rFonts w:hint="eastAsia" w:ascii="仿宋" w:hAnsi="仿宋" w:eastAsia="仿宋" w:cs="仿宋_GB2312"/>
                <w:color w:val="000000"/>
                <w:spacing w:val="-12"/>
                <w:sz w:val="24"/>
              </w:rPr>
              <w:t>年度单位召开内部控制领导小组会议次数：</w:t>
            </w:r>
            <w:r>
              <w:rPr>
                <w:rFonts w:hint="eastAsia" w:ascii="楷体_GB2312" w:hAnsi="楷体_GB2312" w:eastAsia="楷体_GB2312" w:cs="楷体_GB2312"/>
                <w:color w:val="000000"/>
                <w:sz w:val="24"/>
                <w:lang w:eastAsia="zh-CN"/>
              </w:rPr>
              <w:t>1</w:t>
            </w:r>
          </w:p>
        </w:tc>
      </w:tr>
      <w:tr w14:paraId="30B4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8655" w:type="dxa"/>
            <w:gridSpan w:val="2"/>
            <w:noWrap/>
            <w:vAlign w:val="center"/>
          </w:tcPr>
          <w:p w14:paraId="416641ED">
            <w:pPr>
              <w:spacing w:line="320" w:lineRule="exact"/>
              <w:jc w:val="left"/>
              <w:rPr>
                <w:rFonts w:hint="eastAsia" w:ascii="仿宋" w:hAnsi="仿宋" w:eastAsia="楷体_GB2312" w:cs="仿宋_GB2312"/>
                <w:color w:val="000000"/>
                <w:spacing w:val="-12"/>
                <w:sz w:val="24"/>
                <w:lang w:eastAsia="zh-CN"/>
              </w:rPr>
            </w:pPr>
            <w:r>
              <w:rPr>
                <w:rFonts w:hint="eastAsia" w:ascii="仿宋" w:hAnsi="仿宋" w:eastAsia="仿宋" w:cs="仿宋_GB2312"/>
                <w:color w:val="000000"/>
                <w:spacing w:val="-12"/>
                <w:sz w:val="24"/>
                <w:lang w:eastAsia="zh-CN"/>
              </w:rPr>
              <w:t>2024</w:t>
            </w:r>
            <w:r>
              <w:rPr>
                <w:rFonts w:hint="eastAsia" w:ascii="仿宋" w:hAnsi="仿宋" w:eastAsia="仿宋" w:cs="仿宋_GB2312"/>
                <w:color w:val="000000"/>
                <w:spacing w:val="-12"/>
                <w:sz w:val="24"/>
              </w:rPr>
              <w:t>年度单位开展内部控制相关培训次数：</w:t>
            </w:r>
            <w:r>
              <w:rPr>
                <w:rFonts w:hint="eastAsia" w:ascii="楷体_GB2312" w:hAnsi="楷体_GB2312" w:eastAsia="楷体_GB2312" w:cs="楷体_GB2312"/>
                <w:color w:val="000000"/>
                <w:sz w:val="24"/>
                <w:lang w:eastAsia="zh-CN"/>
              </w:rPr>
              <w:t>1</w:t>
            </w:r>
          </w:p>
        </w:tc>
      </w:tr>
      <w:tr w14:paraId="4101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7" w:hRule="atLeast"/>
          <w:jc w:val="center"/>
        </w:trPr>
        <w:tc>
          <w:tcPr>
            <w:tcW w:w="4529" w:type="dxa"/>
            <w:noWrap/>
            <w:vAlign w:val="center"/>
          </w:tcPr>
          <w:p w14:paraId="7FFFD654">
            <w:pPr>
              <w:spacing w:line="320" w:lineRule="exact"/>
              <w:jc w:val="center"/>
              <w:rPr>
                <w:rFonts w:hint="eastAsia" w:eastAsia="仿宋_GB2312" w:cs="仿宋_GB2312"/>
                <w:color w:val="000000"/>
                <w:spacing w:val="-12"/>
                <w:sz w:val="24"/>
                <w:lang w:eastAsia="zh-CN"/>
              </w:rPr>
            </w:pPr>
            <w:r>
              <w:rPr>
                <w:rFonts w:hint="eastAsia" w:eastAsia="仿宋_GB2312" w:cs="仿宋_GB2312"/>
                <w:color w:val="000000"/>
                <w:spacing w:val="-12"/>
                <w:sz w:val="24"/>
                <w:lang w:eastAsia="zh-CN"/>
              </w:rPr>
              <w:t>2024年度单位是否开展内部控制风险评估</w:t>
            </w:r>
          </w:p>
        </w:tc>
        <w:tc>
          <w:tcPr>
            <w:tcW w:w="4126" w:type="dxa"/>
            <w:vAlign w:val="center"/>
          </w:tcPr>
          <w:p w14:paraId="0A5BB1F1">
            <w:pPr>
              <w:spacing w:line="320" w:lineRule="exact"/>
              <w:jc w:val="left"/>
              <w:rPr>
                <w:rFonts w:hint="eastAsia" w:eastAsia="楷体_GB2312" w:cs="楷体_GB2312"/>
                <w:color w:val="000000"/>
                <w:sz w:val="24"/>
                <w:szCs w:val="24"/>
                <w:lang w:eastAsia="zh-CN"/>
              </w:rPr>
            </w:pPr>
            <w:r>
              <w:rPr>
                <w:rFonts w:hint="eastAsia" w:ascii="楷体_GB2312" w:hAnsi="楷体_GB2312" w:eastAsia="楷体_GB2312" w:cs="楷体_GB2312"/>
                <w:color w:val="000000"/>
                <w:sz w:val="24"/>
                <w:lang w:eastAsia="zh-CN"/>
              </w:rPr>
              <w:t>是</w:t>
            </w:r>
          </w:p>
        </w:tc>
      </w:tr>
      <w:tr w14:paraId="05F7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7" w:hRule="atLeast"/>
          <w:jc w:val="center"/>
        </w:trPr>
        <w:tc>
          <w:tcPr>
            <w:tcW w:w="4529" w:type="dxa"/>
            <w:noWrap/>
            <w:vAlign w:val="center"/>
          </w:tcPr>
          <w:p w14:paraId="0F8B2CE3">
            <w:pPr>
              <w:spacing w:line="320" w:lineRule="exact"/>
              <w:jc w:val="center"/>
              <w:rPr>
                <w:rFonts w:eastAsia="仿宋_GB2312" w:cs="仿宋_GB2312"/>
                <w:color w:val="000000"/>
                <w:spacing w:val="-12"/>
                <w:sz w:val="24"/>
              </w:rPr>
            </w:pPr>
            <w:r>
              <w:rPr>
                <w:rFonts w:hint="eastAsia" w:eastAsia="仿宋_GB2312" w:cs="仿宋_GB2312"/>
                <w:color w:val="000000"/>
                <w:spacing w:val="-12"/>
                <w:sz w:val="24"/>
              </w:rPr>
              <w:t>2024年度单位层面内部控制风险评估覆盖情况</w:t>
            </w:r>
          </w:p>
        </w:tc>
        <w:tc>
          <w:tcPr>
            <w:tcW w:w="4126" w:type="dxa"/>
            <w:vAlign w:val="center"/>
          </w:tcPr>
          <w:p w14:paraId="7C254FAC">
            <w:pPr>
              <w:spacing w:line="320" w:lineRule="exact"/>
              <w:jc w:val="left"/>
              <w:rPr>
                <w:rFonts w:hint="default" w:eastAsia="楷体_GB2312" w:cs="楷体_GB2312"/>
                <w:color w:val="000000"/>
                <w:sz w:val="24"/>
                <w:szCs w:val="24"/>
                <w:lang w:val="en-US" w:eastAsia="zh-CN"/>
              </w:rPr>
            </w:pPr>
            <w:r>
              <w:rPr>
                <w:rFonts w:hint="eastAsia" w:ascii="楷体_GB2312" w:hAnsi="楷体_GB2312" w:eastAsia="楷体_GB2312" w:cs="楷体_GB2312"/>
                <w:color w:val="000000"/>
                <w:sz w:val="24"/>
                <w:lang w:eastAsia="zh-CN"/>
              </w:rPr>
              <w:t>内部控制工作的组织情况;内部控制机制的建设情况;内部管理制度的完善情况;财务信息的编报情况;内部控制关键岗位工作人员的管理情况</w:t>
            </w:r>
            <w:r>
              <w:rPr>
                <w:rFonts w:hint="eastAsia" w:ascii="楷体_GB2312" w:hAnsi="楷体_GB2312" w:eastAsia="楷体_GB2312" w:cs="楷体_GB2312"/>
                <w:color w:val="000000"/>
                <w:sz w:val="24"/>
                <w:lang w:val="en-US" w:eastAsia="zh-CN"/>
              </w:rPr>
              <w:t xml:space="preserve"> </w:t>
            </w:r>
          </w:p>
        </w:tc>
      </w:tr>
      <w:tr w14:paraId="7393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1" w:hRule="atLeast"/>
          <w:jc w:val="center"/>
        </w:trPr>
        <w:tc>
          <w:tcPr>
            <w:tcW w:w="4529" w:type="dxa"/>
            <w:noWrap/>
            <w:vAlign w:val="center"/>
          </w:tcPr>
          <w:p w14:paraId="324248A1">
            <w:pPr>
              <w:spacing w:line="320" w:lineRule="exact"/>
              <w:jc w:val="center"/>
              <w:rPr>
                <w:rFonts w:eastAsia="仿宋_GB2312" w:cs="仿宋_GB2312"/>
                <w:color w:val="000000"/>
                <w:spacing w:val="-12"/>
                <w:sz w:val="24"/>
              </w:rPr>
            </w:pPr>
            <w:r>
              <w:rPr>
                <w:rFonts w:hint="eastAsia" w:eastAsia="仿宋_GB2312" w:cs="仿宋_GB2312"/>
                <w:color w:val="000000"/>
                <w:spacing w:val="-12"/>
                <w:sz w:val="24"/>
                <w:lang w:eastAsia="zh-CN"/>
              </w:rPr>
              <w:t>2024</w:t>
            </w:r>
            <w:r>
              <w:rPr>
                <w:rFonts w:hint="eastAsia" w:eastAsia="仿宋_GB2312" w:cs="仿宋_GB2312"/>
                <w:color w:val="000000"/>
                <w:spacing w:val="-12"/>
                <w:sz w:val="24"/>
              </w:rPr>
              <w:t>年度单位是否开展内部控制评价</w:t>
            </w:r>
          </w:p>
        </w:tc>
        <w:tc>
          <w:tcPr>
            <w:tcW w:w="4126" w:type="dxa"/>
            <w:vAlign w:val="center"/>
          </w:tcPr>
          <w:p w14:paraId="789E80A6">
            <w:pPr>
              <w:spacing w:line="320" w:lineRule="exact"/>
              <w:jc w:val="left"/>
              <w:rPr>
                <w:rFonts w:hint="eastAsia" w:eastAsia="楷体_GB2312" w:cs="楷体_GB2312"/>
                <w:color w:val="000000"/>
                <w:sz w:val="24"/>
                <w:szCs w:val="24"/>
                <w:lang w:eastAsia="zh-CN"/>
              </w:rPr>
            </w:pPr>
            <w:r>
              <w:rPr>
                <w:rFonts w:hint="eastAsia" w:ascii="楷体_GB2312" w:hAnsi="楷体_GB2312" w:eastAsia="楷体_GB2312" w:cs="楷体_GB2312"/>
                <w:color w:val="000000"/>
                <w:sz w:val="24"/>
                <w:lang w:eastAsia="zh-CN"/>
              </w:rPr>
              <w:t>是</w:t>
            </w:r>
          </w:p>
        </w:tc>
      </w:tr>
      <w:tr w14:paraId="3697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1" w:hRule="atLeast"/>
          <w:jc w:val="center"/>
        </w:trPr>
        <w:tc>
          <w:tcPr>
            <w:tcW w:w="4529" w:type="dxa"/>
            <w:shd w:val="clear" w:color="auto" w:fill="auto"/>
            <w:noWrap/>
            <w:vAlign w:val="center"/>
          </w:tcPr>
          <w:p w14:paraId="1A79346C">
            <w:pPr>
              <w:spacing w:line="320" w:lineRule="exact"/>
              <w:jc w:val="center"/>
              <w:rPr>
                <w:rFonts w:hint="eastAsia" w:ascii="Times New Roman" w:hAnsi="Times New Roman" w:eastAsia="仿宋_GB2312" w:cs="仿宋_GB2312"/>
                <w:color w:val="000000"/>
                <w:spacing w:val="-12"/>
                <w:kern w:val="2"/>
                <w:sz w:val="24"/>
                <w:szCs w:val="24"/>
                <w:lang w:val="en-US" w:eastAsia="zh-CN" w:bidi="ar-SA"/>
              </w:rPr>
            </w:pPr>
            <w:r>
              <w:rPr>
                <w:rFonts w:hint="eastAsia" w:ascii="Times New Roman" w:hAnsi="Times New Roman" w:eastAsia="仿宋_GB2312" w:cs="仿宋_GB2312"/>
                <w:color w:val="000000"/>
                <w:spacing w:val="-12"/>
                <w:kern w:val="2"/>
                <w:sz w:val="24"/>
                <w:szCs w:val="24"/>
                <w:lang w:val="en-US" w:eastAsia="zh-CN" w:bidi="ar-SA"/>
              </w:rPr>
              <w:t>2024年度单位内部控制评价结果应用领域</w:t>
            </w:r>
          </w:p>
        </w:tc>
        <w:tc>
          <w:tcPr>
            <w:tcW w:w="4126" w:type="dxa"/>
            <w:shd w:val="clear" w:color="auto" w:fill="auto"/>
            <w:vAlign w:val="center"/>
          </w:tcPr>
          <w:p w14:paraId="7D39096E">
            <w:pPr>
              <w:spacing w:line="320" w:lineRule="exact"/>
              <w:jc w:val="left"/>
              <w:rPr>
                <w:rFonts w:hint="default" w:eastAsia="楷体_GB2312" w:cs="楷体_GB2312"/>
                <w:color w:val="000000"/>
                <w:sz w:val="24"/>
                <w:szCs w:val="24"/>
                <w:lang w:val="en-US" w:eastAsia="zh-CN"/>
              </w:rPr>
            </w:pPr>
            <w:r>
              <w:rPr>
                <w:rFonts w:hint="eastAsia" w:ascii="楷体_GB2312" w:hAnsi="楷体_GB2312" w:eastAsia="楷体_GB2312" w:cs="楷体_GB2312"/>
                <w:color w:val="000000"/>
                <w:sz w:val="24"/>
                <w:lang w:eastAsia="zh-CN"/>
              </w:rPr>
              <w:t>作为领导干部选拔任用的参考;其他领域;作为绩效管理的依据;作为完善内部管理制度的依据;作为监督问责的参考依据</w:t>
            </w:r>
            <w:r>
              <w:rPr>
                <w:rFonts w:hint="eastAsia" w:ascii="楷体_GB2312" w:hAnsi="楷体_GB2312" w:eastAsia="楷体_GB2312" w:cs="楷体_GB2312"/>
                <w:color w:val="000000"/>
                <w:sz w:val="24"/>
                <w:lang w:val="en-US" w:eastAsia="zh-CN"/>
              </w:rPr>
              <w:t xml:space="preserve"> </w:t>
            </w:r>
            <w:r>
              <w:rPr>
                <w:rFonts w:hint="eastAsia" w:ascii="楷体_GB2312" w:hAnsi="楷体_GB2312" w:eastAsia="楷体_GB2312" w:cs="楷体_GB2312"/>
                <w:color w:val="000000"/>
                <w:sz w:val="24"/>
                <w:lang w:eastAsia="zh-CN"/>
              </w:rPr>
              <w:t>全覆盖</w:t>
            </w:r>
          </w:p>
        </w:tc>
      </w:tr>
    </w:tbl>
    <w:p w14:paraId="0F0987D8">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说明：内部控制领导小组会议包括内部控制专题会议或与内部控制工作相关的会议，会议内容应与内部控制领导小组职责一致。需上传内部控制领导小组会议纪要作为佐证材料。</w:t>
      </w:r>
    </w:p>
    <w:p w14:paraId="0D449631">
      <w:pPr>
        <w:pStyle w:val="28"/>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内部控制相关培训包括内部控制专题培训或将内部控制作为议题之一的相关培训。需上传内部控制培训通知或纪要等作为佐证材料。</w:t>
      </w:r>
    </w:p>
    <w:p w14:paraId="1979453D">
      <w:pPr>
        <w:pStyle w:val="28"/>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2024年度单位层面内部控制风险评估覆盖情况根据单位开展的2024年度风险评估工作以及风险评估报告或其他文件，逐项勾选已进行内部控制风险评估的方面。风险评估内容可参考《行政事业单位内部控制规范（试行）》。需上传风险评估报告等材料作为佐证材料。</w:t>
      </w:r>
    </w:p>
    <w:p w14:paraId="1164A3CA">
      <w:pPr>
        <w:pStyle w:val="28"/>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2024年度单位内部控制评价覆盖情况根据单位开展的2024年度内部控制评价工作以及评价报告或其他文件。需上传内部控制评价报告作为佐证材料。</w:t>
      </w:r>
    </w:p>
    <w:p w14:paraId="08488C42">
      <w:pPr>
        <w:rPr>
          <w:rFonts w:eastAsia="仿宋_GB2312" w:cs="仿宋_GB2312"/>
          <w:color w:val="000000"/>
          <w:spacing w:val="-12"/>
          <w:sz w:val="28"/>
          <w:szCs w:val="28"/>
        </w:rPr>
      </w:pPr>
      <w:r>
        <w:rPr>
          <w:rFonts w:hint="eastAsia" w:eastAsia="仿宋_GB2312" w:cs="仿宋_GB2312"/>
          <w:color w:val="000000"/>
          <w:spacing w:val="-12"/>
          <w:sz w:val="28"/>
          <w:szCs w:val="28"/>
        </w:rPr>
        <w:t>（三）规范权力运行情况</w:t>
      </w:r>
    </w:p>
    <w:tbl>
      <w:tblPr>
        <w:tblStyle w:val="11"/>
        <w:tblW w:w="7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741"/>
        <w:gridCol w:w="2015"/>
      </w:tblGrid>
      <w:tr w14:paraId="6622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4" w:hRule="atLeast"/>
          <w:jc w:val="center"/>
        </w:trPr>
        <w:tc>
          <w:tcPr>
            <w:tcW w:w="5741" w:type="dxa"/>
            <w:noWrap/>
            <w:vAlign w:val="center"/>
          </w:tcPr>
          <w:p w14:paraId="643B44C1">
            <w:pPr>
              <w:spacing w:line="320" w:lineRule="exact"/>
              <w:jc w:val="center"/>
              <w:rPr>
                <w:rFonts w:eastAsia="仿宋_GB2312" w:cs="仿宋_GB2312"/>
                <w:color w:val="000000"/>
                <w:spacing w:val="-12"/>
                <w:sz w:val="24"/>
              </w:rPr>
            </w:pPr>
            <w:r>
              <w:rPr>
                <w:rFonts w:hint="eastAsia" w:eastAsia="仿宋_GB2312" w:cs="仿宋_GB2312"/>
                <w:color w:val="000000"/>
                <w:spacing w:val="-12"/>
                <w:sz w:val="24"/>
              </w:rPr>
              <w:t>单位是否建立健全分事行权、分岗设权、分级授权机制</w:t>
            </w:r>
          </w:p>
        </w:tc>
        <w:tc>
          <w:tcPr>
            <w:tcW w:w="2015" w:type="dxa"/>
            <w:vAlign w:val="center"/>
          </w:tcPr>
          <w:p w14:paraId="78CD1612">
            <w:pPr>
              <w:spacing w:line="320" w:lineRule="exact"/>
              <w:jc w:val="center"/>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eastAsia="zh-CN"/>
              </w:rPr>
              <w:t>是</w:t>
            </w:r>
          </w:p>
        </w:tc>
      </w:tr>
      <w:tr w14:paraId="0F65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5741" w:type="dxa"/>
            <w:noWrap/>
            <w:vAlign w:val="center"/>
          </w:tcPr>
          <w:p w14:paraId="03B4A7BB">
            <w:pPr>
              <w:spacing w:line="320" w:lineRule="exact"/>
              <w:jc w:val="center"/>
              <w:rPr>
                <w:rFonts w:eastAsia="仿宋_GB2312" w:cs="仿宋_GB2312"/>
                <w:color w:val="000000"/>
                <w:spacing w:val="-12"/>
                <w:sz w:val="24"/>
              </w:rPr>
            </w:pPr>
            <w:r>
              <w:rPr>
                <w:rFonts w:hint="eastAsia" w:eastAsia="仿宋_GB2312" w:cs="仿宋_GB2312"/>
                <w:color w:val="000000"/>
                <w:spacing w:val="-12"/>
                <w:sz w:val="24"/>
              </w:rPr>
              <w:t>单位是否建立关键岗位干部交流或定期轮岗机制，并明确不具备条件轮岗的实行专项审计。</w:t>
            </w:r>
          </w:p>
        </w:tc>
        <w:tc>
          <w:tcPr>
            <w:tcW w:w="2015" w:type="dxa"/>
            <w:vAlign w:val="center"/>
          </w:tcPr>
          <w:p w14:paraId="2636D39E">
            <w:pPr>
              <w:spacing w:line="320" w:lineRule="exact"/>
              <w:jc w:val="center"/>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eastAsia="zh-CN"/>
              </w:rPr>
              <w:t>是</w:t>
            </w:r>
          </w:p>
        </w:tc>
      </w:tr>
      <w:tr w14:paraId="7889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jc w:val="center"/>
        </w:trPr>
        <w:tc>
          <w:tcPr>
            <w:tcW w:w="5741" w:type="dxa"/>
            <w:noWrap/>
            <w:vAlign w:val="center"/>
          </w:tcPr>
          <w:p w14:paraId="2B7CF634">
            <w:pPr>
              <w:spacing w:line="320" w:lineRule="exact"/>
              <w:jc w:val="center"/>
              <w:rPr>
                <w:rFonts w:eastAsia="仿宋_GB2312" w:cs="仿宋_GB2312"/>
                <w:color w:val="000000"/>
                <w:spacing w:val="-12"/>
                <w:sz w:val="24"/>
              </w:rPr>
            </w:pPr>
            <w:r>
              <w:rPr>
                <w:rFonts w:hint="eastAsia" w:eastAsia="仿宋_GB2312" w:cs="仿宋_GB2312"/>
                <w:color w:val="000000"/>
                <w:spacing w:val="-12"/>
                <w:sz w:val="24"/>
              </w:rPr>
              <w:t>单位是否针对“三重一大”事项建立集体议事决策机制</w:t>
            </w:r>
          </w:p>
        </w:tc>
        <w:tc>
          <w:tcPr>
            <w:tcW w:w="2015" w:type="dxa"/>
            <w:vAlign w:val="center"/>
          </w:tcPr>
          <w:p w14:paraId="216E28E9">
            <w:pPr>
              <w:spacing w:line="320" w:lineRule="exact"/>
              <w:jc w:val="center"/>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eastAsia="zh-CN"/>
              </w:rPr>
              <w:t>是</w:t>
            </w:r>
          </w:p>
        </w:tc>
      </w:tr>
    </w:tbl>
    <w:p w14:paraId="12D0ED75">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说明：分事行权是指对单位经济活动和业务活动的决策、执行、监督，应当明确分工、相互分离、分别行权；分岗设权是指对涉及经济活动、业务活动的相关岗位，应当依职定岗、分岗定权、权责明确；分级授权是指对单位各管理层级和相关岗位，应当明确授权范围、授权对象、授权期限、授权与行权责任、一般授权与特殊授权界限。</w:t>
      </w:r>
    </w:p>
    <w:p w14:paraId="739CB120">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单位应当按照有关规定对关键岗位人员实行轮岗交流，明确轮岗范围、轮岗周期与轮岗方式，不具备轮岗条件的可以采用专项审计等替代措施。需上传定期轮岗（或专项审计）相关制度。</w:t>
      </w:r>
    </w:p>
    <w:p w14:paraId="778AB557">
      <w:pPr>
        <w:pStyle w:val="28"/>
        <w:tabs>
          <w:tab w:val="left" w:pos="851"/>
        </w:tabs>
        <w:spacing w:line="360" w:lineRule="auto"/>
        <w:ind w:firstLine="480"/>
        <w:rPr>
          <w:rFonts w:ascii="楷体_GB2312" w:eastAsia="楷体_GB2312"/>
          <w:sz w:val="24"/>
        </w:rPr>
      </w:pPr>
      <w:r>
        <w:rPr>
          <w:rFonts w:hint="eastAsia" w:eastAsia="楷体_GB2312" w:cs="楷体_GB2312"/>
          <w:color w:val="000000"/>
          <w:sz w:val="24"/>
        </w:rPr>
        <w:t>“三重一大”是指重大事项决策、重要干部任免、重要项目安排、大额度资金的使用。</w:t>
      </w:r>
    </w:p>
    <w:p w14:paraId="643CC58A">
      <w:pPr>
        <w:widowControl/>
        <w:tabs>
          <w:tab w:val="left" w:pos="851"/>
        </w:tabs>
        <w:spacing w:line="360" w:lineRule="auto"/>
        <w:rPr>
          <w:rFonts w:eastAsia="仿宋_GB2312" w:cs="仿宋_GB2312"/>
          <w:color w:val="000000"/>
          <w:spacing w:val="-12"/>
          <w:sz w:val="28"/>
          <w:szCs w:val="28"/>
        </w:rPr>
      </w:pPr>
      <w:r>
        <w:rPr>
          <w:rFonts w:hint="eastAsia" w:eastAsia="仿宋_GB2312" w:cs="仿宋_GB2312"/>
          <w:color w:val="000000"/>
          <w:spacing w:val="-12"/>
          <w:sz w:val="28"/>
          <w:szCs w:val="28"/>
        </w:rPr>
        <w:t>（四）内部控制相关问题整改情况</w:t>
      </w:r>
    </w:p>
    <w:tbl>
      <w:tblPr>
        <w:tblStyle w:val="11"/>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855"/>
        <w:gridCol w:w="5637"/>
      </w:tblGrid>
      <w:tr w14:paraId="15BA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7" w:hRule="atLeast"/>
          <w:jc w:val="center"/>
        </w:trPr>
        <w:tc>
          <w:tcPr>
            <w:tcW w:w="2855" w:type="dxa"/>
            <w:noWrap/>
            <w:vAlign w:val="center"/>
          </w:tcPr>
          <w:p w14:paraId="49A35A81">
            <w:pPr>
              <w:spacing w:line="320" w:lineRule="exact"/>
              <w:jc w:val="center"/>
              <w:rPr>
                <w:rFonts w:eastAsia="仿宋_GB2312" w:cs="仿宋_GB2312"/>
                <w:color w:val="000000"/>
                <w:spacing w:val="-12"/>
                <w:sz w:val="24"/>
              </w:rPr>
            </w:pPr>
            <w:r>
              <w:rPr>
                <w:rFonts w:hint="eastAsia" w:eastAsia="仿宋_GB2312" w:cs="仿宋_GB2312"/>
                <w:color w:val="000000"/>
                <w:spacing w:val="-12"/>
                <w:sz w:val="24"/>
                <w:lang w:eastAsia="zh-CN"/>
              </w:rPr>
              <w:t>2024</w:t>
            </w:r>
            <w:r>
              <w:rPr>
                <w:rFonts w:hint="eastAsia" w:eastAsia="仿宋_GB2312" w:cs="仿宋_GB2312"/>
                <w:color w:val="000000"/>
                <w:spacing w:val="-12"/>
                <w:sz w:val="24"/>
              </w:rPr>
              <w:t>年度单位内部控制评价发现问题整改情况</w:t>
            </w:r>
          </w:p>
        </w:tc>
        <w:tc>
          <w:tcPr>
            <w:tcW w:w="5637" w:type="dxa"/>
            <w:vAlign w:val="center"/>
          </w:tcPr>
          <w:p w14:paraId="34A186F9">
            <w:pPr>
              <w:spacing w:line="320" w:lineRule="exact"/>
              <w:jc w:val="left"/>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lang w:val="en-US" w:eastAsia="zh-CN"/>
              </w:rPr>
              <w:t>问题总数</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1</w:t>
            </w:r>
          </w:p>
          <w:p w14:paraId="719A3639">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val="en-US" w:eastAsia="zh-CN"/>
              </w:rPr>
              <w:t>已完成整改问题数量</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1</w:t>
            </w:r>
          </w:p>
          <w:p w14:paraId="189B6597">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val="en-US" w:eastAsia="zh-CN"/>
              </w:rPr>
              <w:t>正在进行整改问题数量</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0</w:t>
            </w:r>
          </w:p>
          <w:p w14:paraId="399974A5">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val="en-US" w:eastAsia="zh-CN"/>
              </w:rPr>
              <w:t>未整改问题数量</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0</w:t>
            </w:r>
          </w:p>
        </w:tc>
      </w:tr>
      <w:tr w14:paraId="5F66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7" w:hRule="atLeast"/>
          <w:jc w:val="center"/>
        </w:trPr>
        <w:tc>
          <w:tcPr>
            <w:tcW w:w="2855" w:type="dxa"/>
            <w:noWrap/>
            <w:vAlign w:val="center"/>
          </w:tcPr>
          <w:p w14:paraId="3B12E869">
            <w:pPr>
              <w:spacing w:line="320" w:lineRule="exact"/>
              <w:jc w:val="center"/>
              <w:rPr>
                <w:rFonts w:eastAsia="仿宋_GB2312" w:cs="仿宋_GB2312"/>
                <w:color w:val="000000"/>
                <w:spacing w:val="-12"/>
                <w:sz w:val="24"/>
              </w:rPr>
            </w:pPr>
            <w:r>
              <w:rPr>
                <w:rFonts w:hint="eastAsia" w:eastAsia="仿宋_GB2312" w:cs="仿宋_GB2312"/>
                <w:color w:val="000000"/>
                <w:spacing w:val="-12"/>
                <w:sz w:val="24"/>
                <w:lang w:eastAsia="zh-CN"/>
              </w:rPr>
              <w:t>2024</w:t>
            </w:r>
            <w:r>
              <w:rPr>
                <w:rFonts w:hint="eastAsia" w:eastAsia="仿宋_GB2312" w:cs="仿宋_GB2312"/>
                <w:color w:val="000000"/>
                <w:spacing w:val="-12"/>
                <w:sz w:val="24"/>
              </w:rPr>
              <w:t>年度单位巡视巡察发现与内部控制相关问题整改情况</w:t>
            </w:r>
          </w:p>
        </w:tc>
        <w:tc>
          <w:tcPr>
            <w:tcW w:w="5637" w:type="dxa"/>
            <w:vAlign w:val="center"/>
          </w:tcPr>
          <w:p w14:paraId="67D147D1">
            <w:pPr>
              <w:spacing w:line="320" w:lineRule="exact"/>
              <w:jc w:val="left"/>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lang w:val="en-US" w:eastAsia="zh-CN"/>
              </w:rPr>
              <w:t>问题总数</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1</w:t>
            </w:r>
          </w:p>
          <w:p w14:paraId="7F9D4965">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val="en-US" w:eastAsia="zh-CN"/>
              </w:rPr>
              <w:t>已完成整改问题数量</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1</w:t>
            </w:r>
          </w:p>
          <w:p w14:paraId="4DA293AB">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val="en-US" w:eastAsia="zh-CN"/>
              </w:rPr>
              <w:t>正在进行整改问题数量</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0</w:t>
            </w:r>
          </w:p>
          <w:p w14:paraId="5A23CCD6">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val="en-US" w:eastAsia="zh-CN"/>
              </w:rPr>
              <w:t>未整改问题数量</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0</w:t>
            </w:r>
          </w:p>
        </w:tc>
      </w:tr>
      <w:tr w14:paraId="7FDA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2" w:hRule="atLeast"/>
          <w:jc w:val="center"/>
        </w:trPr>
        <w:tc>
          <w:tcPr>
            <w:tcW w:w="2855" w:type="dxa"/>
            <w:noWrap/>
            <w:vAlign w:val="center"/>
          </w:tcPr>
          <w:p w14:paraId="6B29E261">
            <w:pPr>
              <w:spacing w:line="320" w:lineRule="exact"/>
              <w:jc w:val="center"/>
              <w:rPr>
                <w:rFonts w:eastAsia="仿宋_GB2312" w:cs="仿宋_GB2312"/>
                <w:color w:val="000000"/>
                <w:spacing w:val="-12"/>
                <w:sz w:val="24"/>
              </w:rPr>
            </w:pPr>
            <w:r>
              <w:rPr>
                <w:rFonts w:hint="eastAsia" w:eastAsia="仿宋_GB2312" w:cs="仿宋_GB2312"/>
                <w:color w:val="000000"/>
                <w:spacing w:val="-12"/>
                <w:sz w:val="24"/>
                <w:lang w:eastAsia="zh-CN"/>
              </w:rPr>
              <w:t>2024</w:t>
            </w:r>
            <w:r>
              <w:rPr>
                <w:rFonts w:hint="eastAsia" w:eastAsia="仿宋_GB2312" w:cs="仿宋_GB2312"/>
                <w:color w:val="000000"/>
                <w:spacing w:val="-12"/>
                <w:sz w:val="24"/>
              </w:rPr>
              <w:t>年度单位纪检监察发现与内部控制相关问题整改情况</w:t>
            </w:r>
          </w:p>
        </w:tc>
        <w:tc>
          <w:tcPr>
            <w:tcW w:w="5637" w:type="dxa"/>
            <w:vAlign w:val="center"/>
          </w:tcPr>
          <w:p w14:paraId="057C617E">
            <w:pPr>
              <w:spacing w:line="320" w:lineRule="exact"/>
              <w:jc w:val="left"/>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lang w:val="en-US" w:eastAsia="zh-CN"/>
              </w:rPr>
              <w:t>问题总数</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1</w:t>
            </w:r>
          </w:p>
          <w:p w14:paraId="7B96C2A1">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val="en-US" w:eastAsia="zh-CN"/>
              </w:rPr>
              <w:t>已完成整改问题数量</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1</w:t>
            </w:r>
          </w:p>
          <w:p w14:paraId="18BA528C">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val="en-US" w:eastAsia="zh-CN"/>
              </w:rPr>
              <w:t>正在进行整改问题数量</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0</w:t>
            </w:r>
          </w:p>
          <w:p w14:paraId="7FA1CCD4">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val="en-US" w:eastAsia="zh-CN"/>
              </w:rPr>
              <w:t>未整改问题数量</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0</w:t>
            </w:r>
          </w:p>
        </w:tc>
      </w:tr>
      <w:tr w14:paraId="4FA2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9" w:hRule="atLeast"/>
          <w:jc w:val="center"/>
        </w:trPr>
        <w:tc>
          <w:tcPr>
            <w:tcW w:w="2855" w:type="dxa"/>
            <w:noWrap/>
            <w:vAlign w:val="center"/>
          </w:tcPr>
          <w:p w14:paraId="1B9FB431">
            <w:pPr>
              <w:spacing w:line="320" w:lineRule="exact"/>
              <w:jc w:val="center"/>
              <w:rPr>
                <w:rFonts w:eastAsia="仿宋_GB2312" w:cs="仿宋_GB2312"/>
                <w:color w:val="000000"/>
                <w:spacing w:val="-12"/>
                <w:sz w:val="24"/>
              </w:rPr>
            </w:pPr>
            <w:r>
              <w:rPr>
                <w:rFonts w:hint="eastAsia" w:eastAsia="仿宋_GB2312" w:cs="仿宋_GB2312"/>
                <w:color w:val="000000"/>
                <w:spacing w:val="-12"/>
                <w:sz w:val="24"/>
                <w:lang w:eastAsia="zh-CN"/>
              </w:rPr>
              <w:t>2024</w:t>
            </w:r>
            <w:r>
              <w:rPr>
                <w:rFonts w:hint="eastAsia" w:eastAsia="仿宋_GB2312" w:cs="仿宋_GB2312"/>
                <w:color w:val="000000"/>
                <w:spacing w:val="-12"/>
                <w:sz w:val="24"/>
              </w:rPr>
              <w:t>年度单位审计发现与内部控制相关问题整改情况</w:t>
            </w:r>
          </w:p>
        </w:tc>
        <w:tc>
          <w:tcPr>
            <w:tcW w:w="5637" w:type="dxa"/>
            <w:vAlign w:val="center"/>
          </w:tcPr>
          <w:p w14:paraId="52932DFC">
            <w:pPr>
              <w:spacing w:line="320" w:lineRule="exact"/>
              <w:jc w:val="left"/>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lang w:val="en-US" w:eastAsia="zh-CN"/>
              </w:rPr>
              <w:t>问题总数</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1</w:t>
            </w:r>
          </w:p>
          <w:p w14:paraId="4148EBE5">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val="en-US" w:eastAsia="zh-CN"/>
              </w:rPr>
              <w:t>已完成整改问题数量</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1</w:t>
            </w:r>
          </w:p>
          <w:p w14:paraId="0B9149ED">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val="en-US" w:eastAsia="zh-CN"/>
              </w:rPr>
              <w:t>正在进行整改问题数量</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0</w:t>
            </w:r>
          </w:p>
          <w:p w14:paraId="6E979595">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val="en-US" w:eastAsia="zh-CN"/>
              </w:rPr>
              <w:t>未整改问题数量</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0</w:t>
            </w:r>
          </w:p>
        </w:tc>
      </w:tr>
      <w:tr w14:paraId="01D0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9" w:hRule="atLeast"/>
          <w:jc w:val="center"/>
        </w:trPr>
        <w:tc>
          <w:tcPr>
            <w:tcW w:w="2855" w:type="dxa"/>
            <w:noWrap/>
            <w:vAlign w:val="center"/>
          </w:tcPr>
          <w:p w14:paraId="373C2F5A">
            <w:pPr>
              <w:spacing w:line="320" w:lineRule="exact"/>
              <w:jc w:val="center"/>
              <w:rPr>
                <w:rFonts w:eastAsia="仿宋_GB2312" w:cs="仿宋_GB2312"/>
                <w:color w:val="000000"/>
                <w:spacing w:val="-12"/>
                <w:sz w:val="24"/>
              </w:rPr>
            </w:pPr>
            <w:r>
              <w:rPr>
                <w:rFonts w:hint="eastAsia" w:eastAsia="仿宋_GB2312" w:cs="仿宋_GB2312"/>
                <w:color w:val="000000"/>
                <w:spacing w:val="-12"/>
                <w:sz w:val="24"/>
                <w:lang w:eastAsia="zh-CN"/>
              </w:rPr>
              <w:t>2024</w:t>
            </w:r>
            <w:r>
              <w:rPr>
                <w:rFonts w:hint="eastAsia" w:eastAsia="仿宋_GB2312" w:cs="仿宋_GB2312"/>
                <w:color w:val="000000"/>
                <w:spacing w:val="-12"/>
                <w:sz w:val="24"/>
              </w:rPr>
              <w:t>年度单位财会监督发现与内部控制相关问题整改情况</w:t>
            </w:r>
          </w:p>
        </w:tc>
        <w:tc>
          <w:tcPr>
            <w:tcW w:w="5637" w:type="dxa"/>
            <w:vAlign w:val="center"/>
          </w:tcPr>
          <w:p w14:paraId="5C80D655">
            <w:pPr>
              <w:spacing w:line="320" w:lineRule="exact"/>
              <w:jc w:val="left"/>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lang w:val="en-US" w:eastAsia="zh-CN"/>
              </w:rPr>
              <w:t>问题总数</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1</w:t>
            </w:r>
          </w:p>
          <w:p w14:paraId="6837DD63">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val="en-US" w:eastAsia="zh-CN"/>
              </w:rPr>
              <w:t>已完成整改问题数量</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1</w:t>
            </w:r>
          </w:p>
          <w:p w14:paraId="6B2D9E99">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val="en-US" w:eastAsia="zh-CN"/>
              </w:rPr>
              <w:t>正在进行整改问题数量</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0</w:t>
            </w:r>
          </w:p>
          <w:p w14:paraId="601461DB">
            <w:pPr>
              <w:spacing w:line="320" w:lineRule="exact"/>
              <w:jc w:val="left"/>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lang w:val="en-US" w:eastAsia="zh-CN"/>
              </w:rPr>
              <w:t>未整改问题数量</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0</w:t>
            </w:r>
          </w:p>
        </w:tc>
      </w:tr>
    </w:tbl>
    <w:p w14:paraId="7838251E">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说明：</w:t>
      </w:r>
      <w:r>
        <w:rPr>
          <w:rFonts w:hint="eastAsia" w:eastAsia="楷体_GB2312" w:cs="楷体_GB2312"/>
          <w:color w:val="000000"/>
          <w:sz w:val="24"/>
          <w:lang w:eastAsia="zh-CN"/>
        </w:rPr>
        <w:t>2024</w:t>
      </w:r>
      <w:r>
        <w:rPr>
          <w:rFonts w:hint="eastAsia" w:eastAsia="楷体_GB2312" w:cs="楷体_GB2312"/>
          <w:color w:val="000000"/>
          <w:sz w:val="24"/>
        </w:rPr>
        <w:t>年度单位内部控制评价发现问题整改情况根据内部控制评价报告以及整改文件及成果等内容填写。</w:t>
      </w:r>
    </w:p>
    <w:p w14:paraId="692AFDC1">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lang w:eastAsia="zh-CN"/>
        </w:rPr>
        <w:t>2024</w:t>
      </w:r>
      <w:r>
        <w:rPr>
          <w:rFonts w:hint="eastAsia" w:eastAsia="楷体_GB2312" w:cs="楷体_GB2312"/>
          <w:color w:val="000000"/>
          <w:sz w:val="24"/>
        </w:rPr>
        <w:t>年度单位</w:t>
      </w:r>
      <w:r>
        <w:rPr>
          <w:rFonts w:hint="eastAsia" w:eastAsia="楷体_GB2312" w:cs="楷体_GB2312"/>
          <w:color w:val="000000"/>
          <w:sz w:val="24"/>
          <w:lang w:eastAsia="zh-CN"/>
        </w:rPr>
        <w:t>巡视巡察</w:t>
      </w:r>
      <w:r>
        <w:rPr>
          <w:rFonts w:hint="eastAsia" w:eastAsia="楷体_GB2312" w:cs="楷体_GB2312"/>
          <w:color w:val="000000"/>
          <w:sz w:val="24"/>
        </w:rPr>
        <w:t>发现与内部控制相关问题整改情况根据各类</w:t>
      </w:r>
      <w:r>
        <w:rPr>
          <w:rFonts w:hint="eastAsia" w:eastAsia="楷体_GB2312" w:cs="楷体_GB2312"/>
          <w:color w:val="000000"/>
          <w:sz w:val="24"/>
          <w:lang w:eastAsia="zh-CN"/>
        </w:rPr>
        <w:t>巡视巡察</w:t>
      </w:r>
      <w:r>
        <w:rPr>
          <w:rFonts w:hint="eastAsia" w:eastAsia="楷体_GB2312" w:cs="楷体_GB2312"/>
          <w:color w:val="000000"/>
          <w:sz w:val="24"/>
        </w:rPr>
        <w:t>报告及</w:t>
      </w:r>
      <w:r>
        <w:rPr>
          <w:rFonts w:hint="eastAsia" w:eastAsia="楷体_GB2312" w:cs="楷体_GB2312"/>
          <w:color w:val="000000"/>
          <w:sz w:val="24"/>
          <w:lang w:eastAsia="zh-CN"/>
        </w:rPr>
        <w:t>巡视巡察</w:t>
      </w:r>
      <w:r>
        <w:rPr>
          <w:rFonts w:hint="eastAsia" w:eastAsia="楷体_GB2312" w:cs="楷体_GB2312"/>
          <w:color w:val="000000"/>
          <w:sz w:val="24"/>
        </w:rPr>
        <w:t>整改工作报告等内容填写，仅填列与内部控制相关的问题。</w:t>
      </w:r>
    </w:p>
    <w:p w14:paraId="4FF8D31F">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lang w:eastAsia="zh-CN"/>
        </w:rPr>
        <w:t>2024</w:t>
      </w:r>
      <w:r>
        <w:rPr>
          <w:rFonts w:hint="eastAsia" w:eastAsia="楷体_GB2312" w:cs="楷体_GB2312"/>
          <w:color w:val="000000"/>
          <w:sz w:val="24"/>
        </w:rPr>
        <w:t>年度单位纪检监察发现与内部控制相关问题整改情况根据单位纪检监察报告及整改工作报告等内容填写，仅填列与内部控制相关的问题。</w:t>
      </w:r>
    </w:p>
    <w:p w14:paraId="57C53F73">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lang w:eastAsia="zh-CN"/>
        </w:rPr>
        <w:t>2024</w:t>
      </w:r>
      <w:r>
        <w:rPr>
          <w:rFonts w:hint="eastAsia" w:eastAsia="楷体_GB2312" w:cs="楷体_GB2312"/>
          <w:color w:val="000000"/>
          <w:sz w:val="24"/>
        </w:rPr>
        <w:t>年度单位审计发现与内部控制相关问题整改情况根据各类审计报告及整改工作报告等内容填写，仅填列与内部控制相关的问题。</w:t>
      </w:r>
    </w:p>
    <w:p w14:paraId="1009635B">
      <w:pPr>
        <w:pStyle w:val="28"/>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lang w:eastAsia="zh-CN"/>
        </w:rPr>
        <w:t>2024</w:t>
      </w:r>
      <w:r>
        <w:rPr>
          <w:rFonts w:hint="eastAsia" w:eastAsia="楷体_GB2312" w:cs="楷体_GB2312"/>
          <w:color w:val="000000"/>
          <w:sz w:val="24"/>
        </w:rPr>
        <w:t>年度单位财会监督发现与内部控制相关问题整改情况根据财会监督专项行动报告及整改工作报告等内容填写，仅填列与内部控制相关的问题。</w:t>
      </w:r>
    </w:p>
    <w:p w14:paraId="2F16482A">
      <w:pPr>
        <w:widowControl/>
        <w:tabs>
          <w:tab w:val="left" w:pos="851"/>
        </w:tabs>
        <w:spacing w:line="360" w:lineRule="auto"/>
        <w:rPr>
          <w:rFonts w:eastAsia="仿宋_GB2312" w:cs="仿宋_GB2312"/>
          <w:color w:val="000000"/>
          <w:spacing w:val="-12"/>
          <w:sz w:val="28"/>
          <w:szCs w:val="28"/>
        </w:rPr>
      </w:pPr>
      <w:r>
        <w:rPr>
          <w:rFonts w:hint="eastAsia" w:eastAsia="仿宋_GB2312" w:cs="仿宋_GB2312"/>
          <w:color w:val="000000"/>
          <w:spacing w:val="-12"/>
          <w:sz w:val="28"/>
          <w:szCs w:val="28"/>
        </w:rPr>
        <w:t>（五）内部控制信息化情况</w:t>
      </w:r>
    </w:p>
    <w:tbl>
      <w:tblPr>
        <w:tblStyle w:val="11"/>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170"/>
        <w:gridCol w:w="6463"/>
      </w:tblGrid>
      <w:tr w14:paraId="0D66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170" w:type="dxa"/>
            <w:noWrap/>
            <w:vAlign w:val="center"/>
          </w:tcPr>
          <w:p w14:paraId="0D3448E5">
            <w:pPr>
              <w:spacing w:line="320" w:lineRule="exact"/>
              <w:jc w:val="left"/>
              <w:rPr>
                <w:rFonts w:eastAsia="仿宋_GB2312" w:cs="仿宋_GB2312"/>
                <w:color w:val="000000"/>
                <w:spacing w:val="-12"/>
                <w:sz w:val="24"/>
              </w:rPr>
            </w:pPr>
            <w:r>
              <w:rPr>
                <w:rFonts w:hint="eastAsia" w:eastAsia="仿宋_GB2312" w:cs="仿宋_GB2312"/>
                <w:color w:val="000000"/>
                <w:spacing w:val="-12"/>
                <w:sz w:val="24"/>
              </w:rPr>
              <w:t>单位内部控制信息化覆盖情况</w:t>
            </w:r>
          </w:p>
        </w:tc>
        <w:tc>
          <w:tcPr>
            <w:tcW w:w="6463" w:type="dxa"/>
            <w:vAlign w:val="center"/>
          </w:tcPr>
          <w:p w14:paraId="35B57BF5">
            <w:pPr>
              <w:spacing w:line="320" w:lineRule="exact"/>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预算业务;收支业务;政府采购业务;资产管理;建设项目管理;合同管理</w:t>
            </w:r>
          </w:p>
        </w:tc>
      </w:tr>
      <w:tr w14:paraId="6B32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9" w:hRule="atLeast"/>
          <w:jc w:val="center"/>
        </w:trPr>
        <w:tc>
          <w:tcPr>
            <w:tcW w:w="2170" w:type="dxa"/>
            <w:noWrap/>
            <w:vAlign w:val="center"/>
          </w:tcPr>
          <w:p w14:paraId="4EEE787E">
            <w:pPr>
              <w:spacing w:line="320" w:lineRule="exact"/>
              <w:jc w:val="left"/>
              <w:rPr>
                <w:rFonts w:eastAsia="仿宋_GB2312" w:cs="仿宋_GB2312"/>
                <w:color w:val="000000"/>
                <w:spacing w:val="-12"/>
                <w:sz w:val="24"/>
              </w:rPr>
            </w:pPr>
            <w:r>
              <w:rPr>
                <w:rFonts w:hint="eastAsia" w:eastAsia="仿宋_GB2312" w:cs="仿宋_GB2312"/>
                <w:color w:val="000000"/>
                <w:spacing w:val="-12"/>
                <w:sz w:val="24"/>
              </w:rPr>
              <w:t>2024年度内部控制信息化覆盖的业务系统改造升级情况</w:t>
            </w:r>
          </w:p>
        </w:tc>
        <w:tc>
          <w:tcPr>
            <w:tcW w:w="6463" w:type="dxa"/>
            <w:vAlign w:val="center"/>
          </w:tcPr>
          <w:p w14:paraId="6ECC5D48">
            <w:pPr>
              <w:spacing w:line="320" w:lineRule="exact"/>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预算业务;收支业务;政府采购业务;资产管理;建设项目管理;合同管理</w:t>
            </w:r>
          </w:p>
        </w:tc>
      </w:tr>
      <w:tr w14:paraId="7DC0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9" w:hRule="atLeast"/>
          <w:jc w:val="center"/>
        </w:trPr>
        <w:tc>
          <w:tcPr>
            <w:tcW w:w="2170" w:type="dxa"/>
            <w:noWrap/>
            <w:vAlign w:val="center"/>
          </w:tcPr>
          <w:p w14:paraId="61F22549">
            <w:pPr>
              <w:spacing w:line="320" w:lineRule="exact"/>
              <w:jc w:val="left"/>
              <w:rPr>
                <w:rFonts w:eastAsia="仿宋_GB2312" w:cs="仿宋_GB2312"/>
                <w:color w:val="000000"/>
                <w:spacing w:val="-12"/>
                <w:sz w:val="24"/>
              </w:rPr>
            </w:pPr>
            <w:r>
              <w:rPr>
                <w:rFonts w:hint="eastAsia" w:eastAsia="仿宋_GB2312" w:cs="仿宋_GB2312"/>
                <w:color w:val="000000"/>
                <w:spacing w:val="-12"/>
                <w:sz w:val="24"/>
              </w:rPr>
              <w:t>单位内部控制信息化模块联通情况</w:t>
            </w:r>
          </w:p>
        </w:tc>
        <w:tc>
          <w:tcPr>
            <w:tcW w:w="6463" w:type="dxa"/>
            <w:vAlign w:val="center"/>
          </w:tcPr>
          <w:p w14:paraId="395F2699">
            <w:pPr>
              <w:spacing w:line="320" w:lineRule="exact"/>
              <w:jc w:val="left"/>
              <w:rPr>
                <w:rFonts w:hint="default"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共有</w:t>
            </w:r>
            <w:r>
              <w:rPr>
                <w:rFonts w:hint="eastAsia"/>
                <w:lang w:val="en-US" w:eastAsia="zh-CN"/>
              </w:rPr>
              <w:t xml:space="preserve"> </w:t>
            </w:r>
            <w:r>
              <w:rPr>
                <w:rFonts w:hint="eastAsia" w:ascii="楷体_GB2312" w:hAnsi="楷体_GB2312" w:eastAsia="楷体_GB2312" w:cs="楷体_GB2312"/>
                <w:color w:val="000000"/>
                <w:sz w:val="24"/>
                <w:lang w:val="en-US" w:eastAsia="zh-CN"/>
              </w:rPr>
              <w:t>0</w:t>
            </w:r>
            <w:r>
              <w:rPr>
                <w:rFonts w:hint="eastAsia"/>
                <w:lang w:val="en-US" w:eastAsia="zh-CN"/>
              </w:rPr>
              <w:t xml:space="preserve"> </w:t>
            </w:r>
            <w:r>
              <w:rPr>
                <w:rFonts w:hint="eastAsia" w:ascii="楷体_GB2312" w:hAnsi="楷体_GB2312" w:eastAsia="楷体_GB2312" w:cs="楷体_GB2312"/>
                <w:color w:val="000000"/>
                <w:sz w:val="24"/>
                <w:lang w:val="en-US" w:eastAsia="zh-CN"/>
              </w:rPr>
              <w:t>对模块已经联通</w:t>
            </w:r>
          </w:p>
        </w:tc>
      </w:tr>
    </w:tbl>
    <w:p w14:paraId="5B03E99A">
      <w:pPr>
        <w:pStyle w:val="28"/>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说明：内部控制信息化建设是指运用信息化手段将内部控制关键点嵌入业务系统中。财政部门统一建设的不涉及单位内部业务管理的预算管理一体化系统、行政事业单位内部控制报告填报系统、与业务无关的内部控制工作辅助软件等，不纳入“单位内部控制信息化覆盖情况”填报范围。2024年度内部控制信息化覆盖的业务系统改造升级情况是指内部制度更新等情况对内部控制信息化覆盖的业务系统进行的内部控制相关改造升级。单位内部控制信息化模块联通是指不同业务的系统模块之间的数据信息能够同步更新与实时共享。需上传系统截图及从内部控制信息系统中导出的功能清单和角色清单作为佐证材料。</w:t>
      </w:r>
    </w:p>
    <w:p w14:paraId="4E90A35A">
      <w:pPr>
        <w:pStyle w:val="28"/>
        <w:tabs>
          <w:tab w:val="left" w:pos="851"/>
        </w:tabs>
        <w:spacing w:line="360" w:lineRule="auto"/>
        <w:ind w:firstLine="0" w:firstLineChars="0"/>
        <w:jc w:val="center"/>
        <w:rPr>
          <w:rFonts w:ascii="黑体" w:eastAsia="黑体" w:cs="方正小标宋简体"/>
          <w:color w:val="000000"/>
          <w:spacing w:val="8"/>
          <w:sz w:val="36"/>
          <w:szCs w:val="36"/>
        </w:rPr>
      </w:pPr>
      <w:r>
        <w:rPr>
          <w:rFonts w:hint="eastAsia" w:ascii="黑体" w:eastAsia="黑体" w:cs="方正小标宋简体"/>
          <w:color w:val="000000"/>
          <w:spacing w:val="8"/>
          <w:sz w:val="36"/>
          <w:szCs w:val="36"/>
        </w:rPr>
        <w:t>三、业务层面内部控制情况</w:t>
      </w:r>
    </w:p>
    <w:p w14:paraId="54BF5CF8">
      <w:pPr>
        <w:widowControl/>
        <w:tabs>
          <w:tab w:val="left" w:pos="851"/>
        </w:tabs>
        <w:spacing w:line="360" w:lineRule="auto"/>
        <w:rPr>
          <w:rFonts w:hint="eastAsia" w:eastAsia="仿宋_GB2312" w:cs="仿宋_GB2312"/>
          <w:color w:val="000000"/>
          <w:spacing w:val="-12"/>
          <w:sz w:val="28"/>
          <w:szCs w:val="28"/>
        </w:rPr>
      </w:pPr>
      <w:r>
        <w:rPr>
          <w:rFonts w:hint="eastAsia" w:eastAsia="仿宋_GB2312" w:cs="仿宋_GB2312"/>
          <w:color w:val="000000"/>
          <w:spacing w:val="-12"/>
          <w:sz w:val="28"/>
          <w:szCs w:val="28"/>
        </w:rPr>
        <w:t>（一）内部控制适用的业务领域</w:t>
      </w:r>
    </w:p>
    <w:tbl>
      <w:tblPr>
        <w:tblStyle w:val="11"/>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410"/>
        <w:gridCol w:w="1843"/>
        <w:gridCol w:w="2551"/>
      </w:tblGrid>
      <w:tr w14:paraId="4E87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43" w:type="dxa"/>
            <w:noWrap w:val="0"/>
            <w:vAlign w:val="center"/>
          </w:tcPr>
          <w:p w14:paraId="5777D3B7">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预算业务</w:t>
            </w:r>
          </w:p>
        </w:tc>
        <w:tc>
          <w:tcPr>
            <w:tcW w:w="2410" w:type="dxa"/>
            <w:noWrap w:val="0"/>
            <w:vAlign w:val="center"/>
          </w:tcPr>
          <w:p w14:paraId="5351E6BF">
            <w:pPr>
              <w:spacing w:line="320" w:lineRule="exact"/>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适用</w:t>
            </w:r>
          </w:p>
        </w:tc>
        <w:tc>
          <w:tcPr>
            <w:tcW w:w="1843" w:type="dxa"/>
            <w:noWrap w:val="0"/>
            <w:vAlign w:val="center"/>
          </w:tcPr>
          <w:p w14:paraId="52C74190">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收支业务</w:t>
            </w:r>
          </w:p>
        </w:tc>
        <w:tc>
          <w:tcPr>
            <w:tcW w:w="2551" w:type="dxa"/>
            <w:noWrap w:val="0"/>
            <w:vAlign w:val="center"/>
          </w:tcPr>
          <w:p w14:paraId="74C61F19">
            <w:pPr>
              <w:spacing w:line="320" w:lineRule="exact"/>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适用</w:t>
            </w:r>
          </w:p>
        </w:tc>
      </w:tr>
      <w:tr w14:paraId="7B1C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843" w:type="dxa"/>
            <w:noWrap w:val="0"/>
            <w:vAlign w:val="center"/>
          </w:tcPr>
          <w:p w14:paraId="238CCA3D">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政府采购业务</w:t>
            </w:r>
          </w:p>
        </w:tc>
        <w:tc>
          <w:tcPr>
            <w:tcW w:w="2410" w:type="dxa"/>
            <w:noWrap w:val="0"/>
            <w:vAlign w:val="center"/>
          </w:tcPr>
          <w:p w14:paraId="3E1935DC">
            <w:pPr>
              <w:spacing w:line="320" w:lineRule="exact"/>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适用</w:t>
            </w:r>
          </w:p>
        </w:tc>
        <w:tc>
          <w:tcPr>
            <w:tcW w:w="1843" w:type="dxa"/>
            <w:noWrap w:val="0"/>
            <w:vAlign w:val="center"/>
          </w:tcPr>
          <w:p w14:paraId="03EAA6CD">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资产管理</w:t>
            </w:r>
          </w:p>
        </w:tc>
        <w:tc>
          <w:tcPr>
            <w:tcW w:w="2551" w:type="dxa"/>
            <w:noWrap w:val="0"/>
            <w:vAlign w:val="center"/>
          </w:tcPr>
          <w:p w14:paraId="583587D5">
            <w:pPr>
              <w:spacing w:line="320" w:lineRule="exact"/>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适用</w:t>
            </w:r>
          </w:p>
        </w:tc>
      </w:tr>
      <w:tr w14:paraId="4B18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43" w:type="dxa"/>
            <w:noWrap w:val="0"/>
            <w:vAlign w:val="center"/>
          </w:tcPr>
          <w:p w14:paraId="50C07F2D">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建设项目管理</w:t>
            </w:r>
          </w:p>
        </w:tc>
        <w:tc>
          <w:tcPr>
            <w:tcW w:w="2410" w:type="dxa"/>
            <w:noWrap w:val="0"/>
            <w:vAlign w:val="center"/>
          </w:tcPr>
          <w:p w14:paraId="22AAB089">
            <w:pPr>
              <w:spacing w:line="320" w:lineRule="exact"/>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适用</w:t>
            </w:r>
          </w:p>
        </w:tc>
        <w:tc>
          <w:tcPr>
            <w:tcW w:w="1843" w:type="dxa"/>
            <w:noWrap w:val="0"/>
            <w:vAlign w:val="center"/>
          </w:tcPr>
          <w:p w14:paraId="3459A57F">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合同管理</w:t>
            </w:r>
          </w:p>
        </w:tc>
        <w:tc>
          <w:tcPr>
            <w:tcW w:w="2551" w:type="dxa"/>
            <w:noWrap w:val="0"/>
            <w:vAlign w:val="center"/>
          </w:tcPr>
          <w:p w14:paraId="3F95E1FB">
            <w:pPr>
              <w:spacing w:line="320" w:lineRule="exact"/>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适用</w:t>
            </w:r>
          </w:p>
        </w:tc>
      </w:tr>
      <w:tr w14:paraId="43B4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3" w:type="dxa"/>
            <w:noWrap w:val="0"/>
            <w:vAlign w:val="center"/>
          </w:tcPr>
          <w:p w14:paraId="40FD67F5">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内部控制适用的其他业务领域</w:t>
            </w:r>
          </w:p>
        </w:tc>
        <w:tc>
          <w:tcPr>
            <w:tcW w:w="6804" w:type="dxa"/>
            <w:gridSpan w:val="3"/>
            <w:noWrap w:val="0"/>
            <w:vAlign w:val="center"/>
          </w:tcPr>
          <w:p w14:paraId="3FDFB701">
            <w:pPr>
              <w:keepNext w:val="0"/>
              <w:keepLines w:val="0"/>
              <w:suppressLineNumbers w:val="0"/>
              <w:spacing w:before="0" w:beforeAutospacing="0" w:after="0" w:afterAutospacing="0" w:line="320" w:lineRule="exact"/>
              <w:ind w:left="0" w:right="0"/>
              <w:jc w:val="left"/>
              <w:rPr>
                <w:rFonts w:hint="eastAsia" w:eastAsia="仿宋_GB2312" w:cs="仿宋_GB2312"/>
                <w:color w:val="000000"/>
                <w:spacing w:val="-12"/>
                <w:sz w:val="24"/>
              </w:rPr>
            </w:pPr>
          </w:p>
        </w:tc>
      </w:tr>
    </w:tbl>
    <w:p w14:paraId="30A251B8">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说明：如单位适用某项经济业务，但202</w:t>
      </w:r>
      <w:r>
        <w:rPr>
          <w:rFonts w:hint="eastAsia" w:eastAsia="楷体_GB2312" w:cs="楷体_GB2312"/>
          <w:color w:val="000000"/>
          <w:sz w:val="24"/>
          <w:lang w:val="en-US" w:eastAsia="zh-CN"/>
        </w:rPr>
        <w:t>4</w:t>
      </w:r>
      <w:r>
        <w:rPr>
          <w:rFonts w:hint="eastAsia" w:eastAsia="楷体_GB2312" w:cs="楷体_GB2312"/>
          <w:color w:val="000000"/>
          <w:sz w:val="24"/>
        </w:rPr>
        <w:t>年度该业务实际未发生，也应勾选“适用”。对于不适用的业务领域，应在佐证材料中加以说明或提供支撑材料，如加盖单位公章的说明材料等。</w:t>
      </w:r>
    </w:p>
    <w:p w14:paraId="047A1CFD">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政府采购是指各级国家机关、事业单位和团体组织，使用财政性资金采购依法制定的集中采购目录以内的或者采购限额标准以上的货物、工程和服务的行为。单位使用财政性资金采购的集中采购目录以外和采购限额标准以下的货物、工程和服务，即自行采购业务可比照政府采购业务控制程序执行。</w:t>
      </w:r>
    </w:p>
    <w:p w14:paraId="3F966D9A">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建设项目是指单位自行或委托其他单位进行的建造、安装活动。建造活动主要是指各种建筑的新建、改建、扩建及修缮活动，安装主要是指设备的安装工程。</w:t>
      </w:r>
    </w:p>
    <w:p w14:paraId="7F7CBF47">
      <w:pPr>
        <w:pStyle w:val="28"/>
        <w:tabs>
          <w:tab w:val="left" w:pos="851"/>
        </w:tabs>
        <w:spacing w:line="360" w:lineRule="auto"/>
        <w:ind w:firstLine="480"/>
        <w:rPr>
          <w:rFonts w:ascii="楷体" w:hAnsi="楷体" w:eastAsia="楷体" w:cs="楷体"/>
          <w:sz w:val="24"/>
        </w:rPr>
      </w:pPr>
      <w:r>
        <w:rPr>
          <w:rFonts w:hint="eastAsia" w:eastAsia="楷体_GB2312" w:cs="楷体_GB2312"/>
          <w:color w:val="000000"/>
          <w:sz w:val="24"/>
        </w:rPr>
        <w:t>若内部控制建设覆盖六大业务领域以外的其他业务，可填写具体业务名称。</w:t>
      </w:r>
    </w:p>
    <w:p w14:paraId="37E9FEA2">
      <w:pPr>
        <w:widowControl/>
        <w:tabs>
          <w:tab w:val="left" w:pos="851"/>
        </w:tabs>
        <w:spacing w:line="360" w:lineRule="auto"/>
        <w:rPr>
          <w:rFonts w:eastAsia="仿宋_GB2312" w:cs="仿宋_GB2312"/>
          <w:color w:val="000000"/>
          <w:spacing w:val="-12"/>
          <w:sz w:val="28"/>
          <w:szCs w:val="28"/>
        </w:rPr>
      </w:pPr>
      <w:r>
        <w:rPr>
          <w:rFonts w:hint="eastAsia" w:eastAsia="仿宋_GB2312" w:cs="仿宋_GB2312"/>
          <w:color w:val="000000"/>
          <w:spacing w:val="-12"/>
          <w:sz w:val="28"/>
          <w:szCs w:val="28"/>
        </w:rPr>
        <w:t>（二）职责分离情况</w:t>
      </w:r>
    </w:p>
    <w:tbl>
      <w:tblPr>
        <w:tblStyle w:val="11"/>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38"/>
        <w:gridCol w:w="1531"/>
        <w:gridCol w:w="1593"/>
        <w:gridCol w:w="1482"/>
        <w:gridCol w:w="1576"/>
        <w:gridCol w:w="1485"/>
      </w:tblGrid>
      <w:tr w14:paraId="2392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7" w:hRule="atLeast"/>
          <w:jc w:val="center"/>
        </w:trPr>
        <w:tc>
          <w:tcPr>
            <w:tcW w:w="1438" w:type="dxa"/>
            <w:noWrap w:val="0"/>
            <w:vAlign w:val="center"/>
          </w:tcPr>
          <w:p w14:paraId="2918FDA0">
            <w:pPr>
              <w:keepNext w:val="0"/>
              <w:keepLines w:val="0"/>
              <w:widowControl/>
              <w:suppressLineNumbers w:val="0"/>
              <w:spacing w:before="0" w:beforeAutospacing="0" w:after="0" w:afterAutospacing="0"/>
              <w:ind w:left="0" w:right="0"/>
              <w:jc w:val="center"/>
              <w:rPr>
                <w:rFonts w:hint="default"/>
                <w:b/>
                <w:color w:val="000000"/>
                <w:sz w:val="24"/>
              </w:rPr>
            </w:pPr>
            <w:r>
              <w:rPr>
                <w:rFonts w:hint="eastAsia"/>
                <w:b/>
                <w:color w:val="000000"/>
                <w:sz w:val="24"/>
              </w:rPr>
              <w:t>预算业务</w:t>
            </w:r>
          </w:p>
        </w:tc>
        <w:tc>
          <w:tcPr>
            <w:tcW w:w="1531" w:type="dxa"/>
            <w:noWrap w:val="0"/>
            <w:vAlign w:val="center"/>
          </w:tcPr>
          <w:p w14:paraId="14703968">
            <w:pPr>
              <w:keepNext w:val="0"/>
              <w:keepLines w:val="0"/>
              <w:widowControl/>
              <w:suppressLineNumbers w:val="0"/>
              <w:spacing w:before="0" w:beforeAutospacing="0" w:after="0" w:afterAutospacing="0"/>
              <w:ind w:left="0" w:right="0"/>
              <w:jc w:val="center"/>
              <w:rPr>
                <w:rFonts w:hint="default"/>
                <w:b/>
                <w:color w:val="000000"/>
                <w:sz w:val="24"/>
              </w:rPr>
            </w:pPr>
            <w:r>
              <w:rPr>
                <w:rFonts w:hint="eastAsia"/>
                <w:b/>
                <w:color w:val="000000"/>
                <w:sz w:val="24"/>
              </w:rPr>
              <w:t>收支业务</w:t>
            </w:r>
          </w:p>
        </w:tc>
        <w:tc>
          <w:tcPr>
            <w:tcW w:w="1593" w:type="dxa"/>
            <w:noWrap w:val="0"/>
            <w:vAlign w:val="center"/>
          </w:tcPr>
          <w:p w14:paraId="155C22EC">
            <w:pPr>
              <w:keepNext w:val="0"/>
              <w:keepLines w:val="0"/>
              <w:widowControl/>
              <w:suppressLineNumbers w:val="0"/>
              <w:spacing w:before="0" w:beforeAutospacing="0" w:after="0" w:afterAutospacing="0"/>
              <w:ind w:left="0" w:right="0"/>
              <w:jc w:val="center"/>
              <w:rPr>
                <w:rFonts w:hint="default"/>
                <w:b/>
                <w:color w:val="000000"/>
                <w:sz w:val="24"/>
              </w:rPr>
            </w:pPr>
            <w:r>
              <w:rPr>
                <w:rFonts w:hint="eastAsia"/>
                <w:b/>
                <w:color w:val="000000"/>
                <w:sz w:val="24"/>
              </w:rPr>
              <w:t>政府采购业务</w:t>
            </w:r>
          </w:p>
        </w:tc>
        <w:tc>
          <w:tcPr>
            <w:tcW w:w="1482" w:type="dxa"/>
            <w:noWrap w:val="0"/>
            <w:vAlign w:val="center"/>
          </w:tcPr>
          <w:p w14:paraId="5D952CF9">
            <w:pPr>
              <w:keepNext w:val="0"/>
              <w:keepLines w:val="0"/>
              <w:widowControl/>
              <w:suppressLineNumbers w:val="0"/>
              <w:spacing w:before="0" w:beforeAutospacing="0" w:after="0" w:afterAutospacing="0"/>
              <w:ind w:left="0" w:right="0"/>
              <w:jc w:val="center"/>
              <w:rPr>
                <w:rFonts w:hint="default"/>
                <w:b/>
                <w:color w:val="000000"/>
                <w:sz w:val="24"/>
              </w:rPr>
            </w:pPr>
            <w:r>
              <w:rPr>
                <w:rFonts w:hint="eastAsia"/>
                <w:b/>
                <w:color w:val="000000"/>
                <w:sz w:val="24"/>
              </w:rPr>
              <w:t>资产管理</w:t>
            </w:r>
          </w:p>
        </w:tc>
        <w:tc>
          <w:tcPr>
            <w:tcW w:w="1576" w:type="dxa"/>
            <w:noWrap w:val="0"/>
            <w:vAlign w:val="center"/>
          </w:tcPr>
          <w:p w14:paraId="1D46BF23">
            <w:pPr>
              <w:keepNext w:val="0"/>
              <w:keepLines w:val="0"/>
              <w:widowControl/>
              <w:suppressLineNumbers w:val="0"/>
              <w:spacing w:before="0" w:beforeAutospacing="0" w:after="0" w:afterAutospacing="0"/>
              <w:ind w:left="0" w:right="0"/>
              <w:jc w:val="center"/>
              <w:rPr>
                <w:rFonts w:hint="default"/>
                <w:b/>
                <w:color w:val="000000"/>
                <w:sz w:val="24"/>
              </w:rPr>
            </w:pPr>
            <w:r>
              <w:rPr>
                <w:rFonts w:hint="eastAsia"/>
                <w:b/>
                <w:color w:val="000000"/>
                <w:sz w:val="24"/>
              </w:rPr>
              <w:t>建设项目管理</w:t>
            </w:r>
          </w:p>
        </w:tc>
        <w:tc>
          <w:tcPr>
            <w:tcW w:w="1485" w:type="dxa"/>
            <w:noWrap w:val="0"/>
            <w:vAlign w:val="center"/>
          </w:tcPr>
          <w:p w14:paraId="1068CAC5">
            <w:pPr>
              <w:keepNext w:val="0"/>
              <w:keepLines w:val="0"/>
              <w:widowControl/>
              <w:suppressLineNumbers w:val="0"/>
              <w:spacing w:before="0" w:beforeAutospacing="0" w:after="0" w:afterAutospacing="0"/>
              <w:ind w:left="0" w:right="0"/>
              <w:jc w:val="center"/>
              <w:rPr>
                <w:rFonts w:hint="default"/>
                <w:b/>
                <w:color w:val="000000"/>
                <w:sz w:val="24"/>
              </w:rPr>
            </w:pPr>
            <w:r>
              <w:rPr>
                <w:rFonts w:hint="eastAsia"/>
                <w:b/>
                <w:color w:val="000000"/>
                <w:sz w:val="24"/>
              </w:rPr>
              <w:t>合同管理</w:t>
            </w:r>
          </w:p>
        </w:tc>
      </w:tr>
      <w:tr w14:paraId="462D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438" w:type="dxa"/>
            <w:noWrap w:val="0"/>
            <w:vAlign w:val="center"/>
          </w:tcPr>
          <w:p w14:paraId="775EDA7E">
            <w:pPr>
              <w:keepNext w:val="0"/>
              <w:keepLines w:val="0"/>
              <w:suppressLineNumbers w:val="0"/>
              <w:spacing w:before="0" w:beforeAutospacing="0" w:after="0" w:afterAutospacing="0"/>
              <w:ind w:left="0" w:right="0"/>
              <w:jc w:val="left"/>
              <w:rPr>
                <w:rFonts w:hint="default"/>
              </w:rPr>
            </w:pPr>
            <w:r>
              <w:rPr>
                <w:rFonts w:hint="default"/>
              </w:rPr>
              <w:t>是否制定岗位职责说明书</w:t>
            </w:r>
          </w:p>
          <w:p w14:paraId="7342CBAE">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531" w:type="dxa"/>
            <w:noWrap w:val="0"/>
            <w:vAlign w:val="center"/>
          </w:tcPr>
          <w:p w14:paraId="1C63883E">
            <w:pPr>
              <w:keepNext w:val="0"/>
              <w:keepLines w:val="0"/>
              <w:suppressLineNumbers w:val="0"/>
              <w:spacing w:before="0" w:beforeAutospacing="0" w:after="0" w:afterAutospacing="0"/>
              <w:ind w:left="0" w:right="0"/>
              <w:jc w:val="left"/>
              <w:rPr>
                <w:rFonts w:hint="default"/>
              </w:rPr>
            </w:pPr>
            <w:r>
              <w:rPr>
                <w:rFonts w:hint="default"/>
              </w:rPr>
              <w:t>是否制定岗位职责说明书</w:t>
            </w:r>
          </w:p>
          <w:p w14:paraId="4F4CBC4C">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593" w:type="dxa"/>
            <w:noWrap w:val="0"/>
            <w:vAlign w:val="center"/>
          </w:tcPr>
          <w:p w14:paraId="30E5AAD5">
            <w:pPr>
              <w:keepNext w:val="0"/>
              <w:keepLines w:val="0"/>
              <w:suppressLineNumbers w:val="0"/>
              <w:spacing w:before="0" w:beforeAutospacing="0" w:after="0" w:afterAutospacing="0"/>
              <w:ind w:left="0" w:right="0"/>
              <w:jc w:val="left"/>
              <w:rPr>
                <w:rFonts w:hint="default"/>
              </w:rPr>
            </w:pPr>
            <w:r>
              <w:rPr>
                <w:rFonts w:hint="default"/>
              </w:rPr>
              <w:t>是否制定岗位职责说明</w:t>
            </w:r>
          </w:p>
          <w:p w14:paraId="69BB210E">
            <w:pPr>
              <w:keepNext w:val="0"/>
              <w:keepLines w:val="0"/>
              <w:suppressLineNumbers w:val="0"/>
              <w:spacing w:before="0" w:beforeAutospacing="0" w:after="0" w:afterAutospacing="0"/>
              <w:ind w:left="0" w:right="0"/>
              <w:jc w:val="left"/>
              <w:rPr>
                <w:rFonts w:hint="default"/>
              </w:rPr>
            </w:pPr>
            <w:r>
              <w:rPr>
                <w:rFonts w:hint="default"/>
              </w:rPr>
              <w:t>书</w:t>
            </w:r>
          </w:p>
          <w:p w14:paraId="451A79E5">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482" w:type="dxa"/>
            <w:noWrap w:val="0"/>
            <w:vAlign w:val="center"/>
          </w:tcPr>
          <w:p w14:paraId="6AF906DF">
            <w:pPr>
              <w:keepNext w:val="0"/>
              <w:keepLines w:val="0"/>
              <w:suppressLineNumbers w:val="0"/>
              <w:spacing w:before="0" w:beforeAutospacing="0" w:after="0" w:afterAutospacing="0"/>
              <w:ind w:left="0" w:right="0"/>
              <w:jc w:val="left"/>
              <w:rPr>
                <w:rFonts w:hint="default"/>
              </w:rPr>
            </w:pPr>
            <w:r>
              <w:rPr>
                <w:rFonts w:hint="default"/>
              </w:rPr>
              <w:t>是否制定岗位职责说明书</w:t>
            </w:r>
          </w:p>
          <w:p w14:paraId="0729A7F9">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576" w:type="dxa"/>
            <w:noWrap w:val="0"/>
            <w:vAlign w:val="center"/>
          </w:tcPr>
          <w:p w14:paraId="3B4CAF06">
            <w:pPr>
              <w:keepNext w:val="0"/>
              <w:keepLines w:val="0"/>
              <w:suppressLineNumbers w:val="0"/>
              <w:spacing w:before="0" w:beforeAutospacing="0" w:after="0" w:afterAutospacing="0"/>
              <w:ind w:left="0" w:right="0"/>
              <w:jc w:val="left"/>
              <w:rPr>
                <w:rFonts w:hint="default"/>
              </w:rPr>
            </w:pPr>
            <w:r>
              <w:rPr>
                <w:rFonts w:hint="default"/>
              </w:rPr>
              <w:t>是否制定岗位职责说明书</w:t>
            </w:r>
          </w:p>
          <w:p w14:paraId="54BDD427">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485" w:type="dxa"/>
            <w:noWrap w:val="0"/>
            <w:vAlign w:val="center"/>
          </w:tcPr>
          <w:p w14:paraId="04312E8A">
            <w:pPr>
              <w:keepNext w:val="0"/>
              <w:keepLines w:val="0"/>
              <w:suppressLineNumbers w:val="0"/>
              <w:spacing w:before="0" w:beforeAutospacing="0" w:after="0" w:afterAutospacing="0"/>
              <w:ind w:left="0" w:right="0"/>
              <w:jc w:val="left"/>
              <w:rPr>
                <w:rFonts w:hint="default"/>
              </w:rPr>
            </w:pPr>
            <w:r>
              <w:rPr>
                <w:rFonts w:hint="default"/>
              </w:rPr>
              <w:t>是否制定岗位职责说明书</w:t>
            </w:r>
          </w:p>
          <w:p w14:paraId="1A92BFC3">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r>
      <w:tr w14:paraId="0F20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03" w:hRule="atLeast"/>
          <w:jc w:val="center"/>
        </w:trPr>
        <w:tc>
          <w:tcPr>
            <w:tcW w:w="1438" w:type="dxa"/>
            <w:noWrap w:val="0"/>
            <w:vAlign w:val="center"/>
          </w:tcPr>
          <w:p w14:paraId="398B62F8">
            <w:pPr>
              <w:keepNext w:val="0"/>
              <w:keepLines w:val="0"/>
              <w:suppressLineNumbers w:val="0"/>
              <w:spacing w:before="0" w:beforeAutospacing="0" w:after="0" w:afterAutospacing="0"/>
              <w:ind w:left="0" w:right="0"/>
              <w:jc w:val="left"/>
              <w:rPr>
                <w:rFonts w:hint="default"/>
              </w:rPr>
            </w:pPr>
            <w:r>
              <w:rPr>
                <w:rFonts w:hint="default"/>
              </w:rPr>
              <w:t>预算编制与审核分离</w:t>
            </w:r>
          </w:p>
          <w:p w14:paraId="35AE76B8">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531" w:type="dxa"/>
            <w:noWrap w:val="0"/>
            <w:vAlign w:val="center"/>
          </w:tcPr>
          <w:p w14:paraId="5591C130">
            <w:pPr>
              <w:keepNext w:val="0"/>
              <w:keepLines w:val="0"/>
              <w:suppressLineNumbers w:val="0"/>
              <w:spacing w:before="0" w:beforeAutospacing="0" w:after="0" w:afterAutospacing="0"/>
              <w:ind w:left="0" w:right="0"/>
              <w:jc w:val="left"/>
              <w:rPr>
                <w:rFonts w:hint="default"/>
              </w:rPr>
            </w:pPr>
            <w:r>
              <w:rPr>
                <w:rFonts w:hint="default"/>
              </w:rPr>
              <w:t>收款与会计核算分离</w:t>
            </w:r>
          </w:p>
          <w:p w14:paraId="4A769225">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593" w:type="dxa"/>
            <w:noWrap w:val="0"/>
            <w:vAlign w:val="center"/>
          </w:tcPr>
          <w:p w14:paraId="0C8FF570">
            <w:pPr>
              <w:keepNext w:val="0"/>
              <w:keepLines w:val="0"/>
              <w:suppressLineNumbers w:val="0"/>
              <w:spacing w:before="0" w:beforeAutospacing="0" w:after="0" w:afterAutospacing="0"/>
              <w:ind w:left="0" w:right="0"/>
              <w:jc w:val="left"/>
              <w:rPr>
                <w:rFonts w:hint="default"/>
              </w:rPr>
            </w:pPr>
            <w:r>
              <w:rPr>
                <w:rFonts w:hint="default"/>
              </w:rPr>
              <w:t>采购需求提出与审核分离</w:t>
            </w:r>
          </w:p>
          <w:p w14:paraId="36BD7D53">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482" w:type="dxa"/>
            <w:noWrap w:val="0"/>
            <w:vAlign w:val="center"/>
          </w:tcPr>
          <w:p w14:paraId="005C0A5E">
            <w:pPr>
              <w:keepNext w:val="0"/>
              <w:keepLines w:val="0"/>
              <w:suppressLineNumbers w:val="0"/>
              <w:spacing w:before="0" w:beforeAutospacing="0" w:after="0" w:afterAutospacing="0"/>
              <w:ind w:left="0" w:right="0"/>
              <w:jc w:val="left"/>
              <w:rPr>
                <w:rFonts w:hint="default"/>
              </w:rPr>
            </w:pPr>
            <w:r>
              <w:rPr>
                <w:rFonts w:hint="default"/>
              </w:rPr>
              <w:t>货币资金保管、稽核与账目登记分离</w:t>
            </w:r>
          </w:p>
          <w:p w14:paraId="068D484C">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576" w:type="dxa"/>
            <w:noWrap w:val="0"/>
            <w:vAlign w:val="center"/>
          </w:tcPr>
          <w:p w14:paraId="4B447027">
            <w:pPr>
              <w:keepNext w:val="0"/>
              <w:keepLines w:val="0"/>
              <w:suppressLineNumbers w:val="0"/>
              <w:spacing w:before="0" w:beforeAutospacing="0" w:after="0" w:afterAutospacing="0"/>
              <w:ind w:left="0" w:right="0"/>
              <w:jc w:val="left"/>
              <w:rPr>
                <w:rFonts w:hint="default"/>
              </w:rPr>
            </w:pPr>
            <w:r>
              <w:rPr>
                <w:rFonts w:hint="default"/>
              </w:rPr>
              <w:t>项目立项申请与审核分离</w:t>
            </w:r>
          </w:p>
          <w:p w14:paraId="54D2E637">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485" w:type="dxa"/>
            <w:noWrap w:val="0"/>
            <w:vAlign w:val="center"/>
          </w:tcPr>
          <w:p w14:paraId="7FC3D1DC">
            <w:pPr>
              <w:keepNext w:val="0"/>
              <w:keepLines w:val="0"/>
              <w:suppressLineNumbers w:val="0"/>
              <w:spacing w:before="0" w:beforeAutospacing="0" w:after="0" w:afterAutospacing="0"/>
              <w:ind w:left="0" w:right="0"/>
              <w:jc w:val="left"/>
              <w:rPr>
                <w:rFonts w:hint="default"/>
              </w:rPr>
            </w:pPr>
            <w:r>
              <w:rPr>
                <w:rFonts w:hint="default"/>
              </w:rPr>
              <w:t>合同拟订与审核分离</w:t>
            </w:r>
          </w:p>
          <w:p w14:paraId="39190342">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r>
      <w:tr w14:paraId="1B21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13" w:hRule="atLeast"/>
          <w:jc w:val="center"/>
        </w:trPr>
        <w:tc>
          <w:tcPr>
            <w:tcW w:w="1438" w:type="dxa"/>
            <w:noWrap w:val="0"/>
            <w:vAlign w:val="center"/>
          </w:tcPr>
          <w:p w14:paraId="706D6025">
            <w:pPr>
              <w:keepNext w:val="0"/>
              <w:keepLines w:val="0"/>
              <w:suppressLineNumbers w:val="0"/>
              <w:spacing w:before="0" w:beforeAutospacing="0" w:after="0" w:afterAutospacing="0"/>
              <w:ind w:left="0" w:right="0"/>
              <w:jc w:val="left"/>
              <w:rPr>
                <w:rFonts w:hint="default"/>
              </w:rPr>
            </w:pPr>
            <w:r>
              <w:rPr>
                <w:rFonts w:hint="default"/>
              </w:rPr>
              <w:t>预算审批与执行分离</w:t>
            </w:r>
          </w:p>
          <w:p w14:paraId="4A84341F">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531" w:type="dxa"/>
            <w:noWrap w:val="0"/>
            <w:vAlign w:val="center"/>
          </w:tcPr>
          <w:p w14:paraId="093FC374">
            <w:pPr>
              <w:keepNext w:val="0"/>
              <w:keepLines w:val="0"/>
              <w:suppressLineNumbers w:val="0"/>
              <w:spacing w:before="0" w:beforeAutospacing="0" w:after="0" w:afterAutospacing="0"/>
              <w:ind w:left="0" w:right="0"/>
              <w:jc w:val="left"/>
              <w:rPr>
                <w:rFonts w:hint="default"/>
              </w:rPr>
            </w:pPr>
            <w:r>
              <w:rPr>
                <w:rFonts w:hint="default"/>
              </w:rPr>
              <w:t>支出申请与审批分离</w:t>
            </w:r>
          </w:p>
          <w:p w14:paraId="05C10A3B">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593" w:type="dxa"/>
            <w:noWrap w:val="0"/>
            <w:vAlign w:val="center"/>
          </w:tcPr>
          <w:p w14:paraId="297CF4D3">
            <w:pPr>
              <w:keepNext w:val="0"/>
              <w:keepLines w:val="0"/>
              <w:suppressLineNumbers w:val="0"/>
              <w:spacing w:before="0" w:beforeAutospacing="0" w:after="0" w:afterAutospacing="0"/>
              <w:ind w:left="0" w:right="0"/>
              <w:jc w:val="left"/>
              <w:rPr>
                <w:rFonts w:hint="default"/>
              </w:rPr>
            </w:pPr>
            <w:r>
              <w:rPr>
                <w:rFonts w:hint="default"/>
              </w:rPr>
              <w:t>采购方式确定与审核分离</w:t>
            </w:r>
          </w:p>
          <w:p w14:paraId="59BB9398">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482" w:type="dxa"/>
            <w:noWrap w:val="0"/>
            <w:vAlign w:val="center"/>
          </w:tcPr>
          <w:p w14:paraId="5871AD8E">
            <w:pPr>
              <w:keepNext w:val="0"/>
              <w:keepLines w:val="0"/>
              <w:suppressLineNumbers w:val="0"/>
              <w:spacing w:before="0" w:beforeAutospacing="0" w:after="0" w:afterAutospacing="0"/>
              <w:ind w:left="0" w:right="0"/>
              <w:jc w:val="left"/>
              <w:rPr>
                <w:rFonts w:hint="default"/>
              </w:rPr>
            </w:pPr>
            <w:r>
              <w:rPr>
                <w:rFonts w:hint="default"/>
              </w:rPr>
              <w:t>资产财务账与实物账分离</w:t>
            </w:r>
          </w:p>
          <w:p w14:paraId="1273A376">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576" w:type="dxa"/>
            <w:noWrap w:val="0"/>
            <w:vAlign w:val="center"/>
          </w:tcPr>
          <w:p w14:paraId="6462CCDC">
            <w:pPr>
              <w:keepNext w:val="0"/>
              <w:keepLines w:val="0"/>
              <w:suppressLineNumbers w:val="0"/>
              <w:spacing w:before="0" w:beforeAutospacing="0" w:after="0" w:afterAutospacing="0"/>
              <w:ind w:left="0" w:right="0"/>
              <w:jc w:val="left"/>
              <w:rPr>
                <w:rFonts w:hint="default"/>
              </w:rPr>
            </w:pPr>
            <w:r>
              <w:rPr>
                <w:rFonts w:hint="default"/>
              </w:rPr>
              <w:t>概预算编制与审核分离</w:t>
            </w:r>
          </w:p>
          <w:p w14:paraId="3EACFA27">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485" w:type="dxa"/>
            <w:noWrap w:val="0"/>
            <w:vAlign w:val="center"/>
          </w:tcPr>
          <w:p w14:paraId="045F78C4">
            <w:pPr>
              <w:keepNext w:val="0"/>
              <w:keepLines w:val="0"/>
              <w:suppressLineNumbers w:val="0"/>
              <w:spacing w:before="0" w:beforeAutospacing="0" w:after="0" w:afterAutospacing="0"/>
              <w:ind w:left="0" w:right="0"/>
              <w:jc w:val="left"/>
              <w:rPr>
                <w:rFonts w:hint="default"/>
              </w:rPr>
            </w:pPr>
            <w:r>
              <w:rPr>
                <w:rFonts w:hint="default"/>
              </w:rPr>
              <w:t>合同订立与合同章管理分离</w:t>
            </w:r>
          </w:p>
          <w:p w14:paraId="00AA4B48">
            <w:pPr>
              <w:keepNext w:val="0"/>
              <w:keepLines w:val="0"/>
              <w:suppressLineNumbers w:val="0"/>
              <w:spacing w:before="0" w:beforeAutospacing="0" w:after="0" w:afterAutospacing="0"/>
              <w:ind w:left="0" w:right="0"/>
              <w:jc w:val="left"/>
              <w:rPr>
                <w:rFonts w:hint="eastAsia" w:eastAsia="宋体" w:cs="仿宋_GB2312"/>
                <w:color w:val="000000"/>
                <w:spacing w:val="-12"/>
                <w:sz w:val="24"/>
                <w:lang w:eastAsia="zh-CN"/>
              </w:rPr>
            </w:pPr>
            <w:r>
              <w:rPr>
                <w:rFonts w:hint="eastAsia" w:ascii="楷体_GB2312" w:hAnsi="楷体_GB2312" w:eastAsia="楷体_GB2312" w:cs="楷体_GB2312"/>
                <w:color w:val="000000"/>
                <w:sz w:val="24"/>
                <w:lang w:val="en-US" w:eastAsia="zh-CN"/>
              </w:rPr>
              <w:t>是</w:t>
            </w:r>
          </w:p>
        </w:tc>
      </w:tr>
      <w:tr w14:paraId="574A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98" w:hRule="atLeast"/>
          <w:jc w:val="center"/>
        </w:trPr>
        <w:tc>
          <w:tcPr>
            <w:tcW w:w="1438" w:type="dxa"/>
            <w:noWrap w:val="0"/>
            <w:vAlign w:val="center"/>
          </w:tcPr>
          <w:p w14:paraId="62ECAA94">
            <w:pPr>
              <w:keepNext w:val="0"/>
              <w:keepLines w:val="0"/>
              <w:suppressLineNumbers w:val="0"/>
              <w:spacing w:before="0" w:beforeAutospacing="0" w:after="0" w:afterAutospacing="0"/>
              <w:ind w:left="0" w:right="0"/>
              <w:jc w:val="left"/>
              <w:rPr>
                <w:rFonts w:hint="default"/>
              </w:rPr>
            </w:pPr>
            <w:r>
              <w:rPr>
                <w:rFonts w:hint="default"/>
              </w:rPr>
              <w:t>预算执行与分析分离</w:t>
            </w:r>
          </w:p>
          <w:p w14:paraId="44A6F5AC">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531" w:type="dxa"/>
            <w:noWrap w:val="0"/>
            <w:vAlign w:val="center"/>
          </w:tcPr>
          <w:p w14:paraId="04F0042D">
            <w:pPr>
              <w:keepNext w:val="0"/>
              <w:keepLines w:val="0"/>
              <w:suppressLineNumbers w:val="0"/>
              <w:spacing w:before="0" w:beforeAutospacing="0" w:after="0" w:afterAutospacing="0"/>
              <w:ind w:left="0" w:right="0"/>
              <w:jc w:val="left"/>
              <w:rPr>
                <w:rFonts w:hint="default"/>
              </w:rPr>
            </w:pPr>
            <w:r>
              <w:rPr>
                <w:rFonts w:hint="default"/>
              </w:rPr>
              <w:t>支出审批与付款分离</w:t>
            </w:r>
          </w:p>
          <w:p w14:paraId="686F5ED8">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593" w:type="dxa"/>
            <w:noWrap w:val="0"/>
            <w:vAlign w:val="center"/>
          </w:tcPr>
          <w:p w14:paraId="7F2F3B6E">
            <w:pPr>
              <w:keepNext w:val="0"/>
              <w:keepLines w:val="0"/>
              <w:suppressLineNumbers w:val="0"/>
              <w:spacing w:before="0" w:beforeAutospacing="0" w:after="0" w:afterAutospacing="0"/>
              <w:ind w:left="0" w:right="0"/>
              <w:jc w:val="left"/>
              <w:rPr>
                <w:rFonts w:hint="default"/>
              </w:rPr>
            </w:pPr>
            <w:r>
              <w:rPr>
                <w:rFonts w:hint="default"/>
              </w:rPr>
              <w:t>采购执行与验收分离</w:t>
            </w:r>
          </w:p>
          <w:p w14:paraId="551F9D80">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482" w:type="dxa"/>
            <w:noWrap w:val="0"/>
            <w:vAlign w:val="center"/>
          </w:tcPr>
          <w:p w14:paraId="561AC397">
            <w:pPr>
              <w:keepNext w:val="0"/>
              <w:keepLines w:val="0"/>
              <w:suppressLineNumbers w:val="0"/>
              <w:spacing w:before="0" w:beforeAutospacing="0" w:after="0" w:afterAutospacing="0"/>
              <w:ind w:left="0" w:right="0"/>
              <w:jc w:val="left"/>
              <w:rPr>
                <w:rFonts w:hint="default"/>
              </w:rPr>
            </w:pPr>
            <w:r>
              <w:rPr>
                <w:rFonts w:hint="default"/>
              </w:rPr>
              <w:t>资产保管与清查分离</w:t>
            </w:r>
          </w:p>
          <w:p w14:paraId="1E2FFD84">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576" w:type="dxa"/>
            <w:noWrap w:val="0"/>
            <w:vAlign w:val="center"/>
          </w:tcPr>
          <w:p w14:paraId="440618C0">
            <w:pPr>
              <w:keepNext w:val="0"/>
              <w:keepLines w:val="0"/>
              <w:suppressLineNumbers w:val="0"/>
              <w:spacing w:before="0" w:beforeAutospacing="0" w:after="0" w:afterAutospacing="0"/>
              <w:ind w:left="0" w:right="0"/>
              <w:jc w:val="left"/>
              <w:rPr>
                <w:rFonts w:hint="default"/>
              </w:rPr>
            </w:pPr>
            <w:r>
              <w:rPr>
                <w:rFonts w:hint="default"/>
              </w:rPr>
              <w:t>项目实施与价款支付分离</w:t>
            </w:r>
          </w:p>
          <w:p w14:paraId="43818859">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485" w:type="dxa"/>
            <w:noWrap w:val="0"/>
            <w:vAlign w:val="center"/>
          </w:tcPr>
          <w:p w14:paraId="734A48FD">
            <w:pPr>
              <w:keepNext w:val="0"/>
              <w:keepLines w:val="0"/>
              <w:suppressLineNumbers w:val="0"/>
              <w:spacing w:before="0" w:beforeAutospacing="0" w:after="0" w:afterAutospacing="0"/>
              <w:ind w:left="0" w:right="0"/>
              <w:jc w:val="left"/>
              <w:rPr>
                <w:rFonts w:hint="default"/>
              </w:rPr>
            </w:pPr>
            <w:r>
              <w:rPr>
                <w:rFonts w:hint="default"/>
              </w:rPr>
              <w:t>合同订立与登记台账分离</w:t>
            </w:r>
          </w:p>
          <w:p w14:paraId="608914D0">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r>
      <w:tr w14:paraId="1BAB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83" w:hRule="atLeast"/>
          <w:jc w:val="center"/>
        </w:trPr>
        <w:tc>
          <w:tcPr>
            <w:tcW w:w="1438" w:type="dxa"/>
            <w:noWrap w:val="0"/>
            <w:vAlign w:val="center"/>
          </w:tcPr>
          <w:p w14:paraId="46C20368">
            <w:pPr>
              <w:keepNext w:val="0"/>
              <w:keepLines w:val="0"/>
              <w:suppressLineNumbers w:val="0"/>
              <w:spacing w:before="0" w:beforeAutospacing="0" w:after="0" w:afterAutospacing="0"/>
              <w:ind w:left="0" w:right="0"/>
              <w:jc w:val="left"/>
              <w:rPr>
                <w:rFonts w:hint="default"/>
              </w:rPr>
            </w:pPr>
            <w:r>
              <w:rPr>
                <w:rFonts w:hint="default"/>
              </w:rPr>
              <w:t>决算编制与审核分离</w:t>
            </w:r>
          </w:p>
          <w:p w14:paraId="572509AB">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531" w:type="dxa"/>
            <w:noWrap w:val="0"/>
            <w:vAlign w:val="center"/>
          </w:tcPr>
          <w:p w14:paraId="5099EE8D">
            <w:pPr>
              <w:keepNext w:val="0"/>
              <w:keepLines w:val="0"/>
              <w:suppressLineNumbers w:val="0"/>
              <w:spacing w:before="0" w:beforeAutospacing="0" w:after="0" w:afterAutospacing="0"/>
              <w:ind w:left="0" w:right="0"/>
              <w:jc w:val="left"/>
              <w:rPr>
                <w:rFonts w:hint="default"/>
              </w:rPr>
            </w:pPr>
            <w:r>
              <w:rPr>
                <w:rFonts w:hint="default"/>
              </w:rPr>
              <w:t>业务经办与会计核算分离</w:t>
            </w:r>
          </w:p>
          <w:p w14:paraId="388ACF01">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593" w:type="dxa"/>
            <w:noWrap w:val="0"/>
            <w:vAlign w:val="center"/>
          </w:tcPr>
          <w:p w14:paraId="10D5D12A">
            <w:pPr>
              <w:keepNext w:val="0"/>
              <w:keepLines w:val="0"/>
              <w:suppressLineNumbers w:val="0"/>
              <w:spacing w:before="0" w:beforeAutospacing="0" w:after="0" w:afterAutospacing="0"/>
              <w:ind w:left="0" w:leftChars="0" w:right="0" w:rightChars="0"/>
              <w:jc w:val="left"/>
              <w:rPr>
                <w:rFonts w:hint="default"/>
              </w:rPr>
            </w:pPr>
            <w:r>
              <w:rPr>
                <w:rFonts w:hint="default"/>
              </w:rPr>
              <w:t>采购验收与登记分离</w:t>
            </w:r>
          </w:p>
          <w:p w14:paraId="0BA24EB0">
            <w:pPr>
              <w:keepNext w:val="0"/>
              <w:keepLines w:val="0"/>
              <w:suppressLineNumbers w:val="0"/>
              <w:spacing w:before="0" w:beforeAutospacing="0" w:after="0" w:afterAutospacing="0"/>
              <w:ind w:left="0" w:leftChars="0" w:right="0" w:rightChars="0"/>
              <w:jc w:val="left"/>
              <w:rPr>
                <w:rFonts w:hint="eastAsia" w:ascii="Times New Roman" w:hAnsi="Times New Roman" w:eastAsia="宋体" w:cs="楷体_GB2312"/>
                <w:color w:val="000000"/>
                <w:kern w:val="2"/>
                <w:sz w:val="24"/>
                <w:szCs w:val="24"/>
                <w:lang w:val="en-US" w:eastAsia="zh-CN" w:bidi="ar-SA"/>
              </w:rPr>
            </w:pPr>
            <w:r>
              <w:rPr>
                <w:rFonts w:hint="eastAsia" w:ascii="楷体_GB2312" w:hAnsi="楷体_GB2312" w:eastAsia="楷体_GB2312" w:cs="楷体_GB2312"/>
                <w:color w:val="000000"/>
                <w:sz w:val="24"/>
                <w:lang w:val="en-US" w:eastAsia="zh-CN"/>
              </w:rPr>
              <w:t>是</w:t>
            </w:r>
          </w:p>
        </w:tc>
        <w:tc>
          <w:tcPr>
            <w:tcW w:w="1482" w:type="dxa"/>
            <w:noWrap w:val="0"/>
            <w:vAlign w:val="center"/>
          </w:tcPr>
          <w:p w14:paraId="7E64874C">
            <w:pPr>
              <w:keepNext w:val="0"/>
              <w:keepLines w:val="0"/>
              <w:widowControl/>
              <w:suppressLineNumbers w:val="0"/>
              <w:spacing w:before="0" w:beforeAutospacing="0" w:after="0" w:afterAutospacing="0"/>
              <w:ind w:left="0" w:right="0"/>
              <w:rPr>
                <w:rFonts w:hint="eastAsia"/>
              </w:rPr>
            </w:pPr>
            <w:r>
              <w:rPr>
                <w:rFonts w:hint="eastAsia"/>
              </w:rPr>
              <w:t>对外投资立项申报与审核分离</w:t>
            </w:r>
          </w:p>
          <w:p w14:paraId="3F066577">
            <w:pPr>
              <w:keepNext w:val="0"/>
              <w:keepLines w:val="0"/>
              <w:widowControl/>
              <w:suppressLineNumbers w:val="0"/>
              <w:spacing w:before="0" w:beforeAutospacing="0" w:after="0" w:afterAutospacing="0"/>
              <w:ind w:left="0" w:right="0"/>
              <w:rPr>
                <w:rFonts w:hint="eastAsia" w:ascii="Times New Roman" w:hAnsi="Times New Roman" w:eastAsia="宋体" w:cs="楷体_GB2312"/>
                <w:color w:val="000000"/>
                <w:kern w:val="2"/>
                <w:sz w:val="24"/>
                <w:szCs w:val="24"/>
                <w:lang w:val="en-US" w:eastAsia="zh-CN" w:bidi="ar-SA"/>
              </w:rPr>
            </w:pPr>
            <w:r>
              <w:rPr>
                <w:rFonts w:hint="eastAsia" w:ascii="楷体_GB2312" w:hAnsi="楷体_GB2312" w:eastAsia="楷体_GB2312" w:cs="楷体_GB2312"/>
                <w:color w:val="000000"/>
                <w:sz w:val="24"/>
                <w:lang w:val="en-US" w:eastAsia="zh-CN"/>
              </w:rPr>
              <w:t>不适用</w:t>
            </w:r>
          </w:p>
        </w:tc>
        <w:tc>
          <w:tcPr>
            <w:tcW w:w="1576" w:type="dxa"/>
            <w:noWrap w:val="0"/>
            <w:vAlign w:val="center"/>
          </w:tcPr>
          <w:p w14:paraId="700C5CCD">
            <w:pPr>
              <w:keepNext w:val="0"/>
              <w:keepLines w:val="0"/>
              <w:suppressLineNumbers w:val="0"/>
              <w:spacing w:before="0" w:beforeAutospacing="0" w:after="0" w:afterAutospacing="0"/>
              <w:ind w:left="0" w:right="0"/>
              <w:jc w:val="left"/>
              <w:rPr>
                <w:rFonts w:hint="default"/>
              </w:rPr>
            </w:pPr>
            <w:r>
              <w:rPr>
                <w:rFonts w:hint="default"/>
              </w:rPr>
              <w:t>竣工决算与审计分离</w:t>
            </w:r>
          </w:p>
          <w:p w14:paraId="16810D45">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c>
          <w:tcPr>
            <w:tcW w:w="1485" w:type="dxa"/>
            <w:noWrap w:val="0"/>
            <w:vAlign w:val="center"/>
          </w:tcPr>
          <w:p w14:paraId="74525BF4">
            <w:pPr>
              <w:keepNext w:val="0"/>
              <w:keepLines w:val="0"/>
              <w:suppressLineNumbers w:val="0"/>
              <w:spacing w:before="0" w:beforeAutospacing="0" w:after="0" w:afterAutospacing="0"/>
              <w:ind w:left="0" w:right="0"/>
              <w:jc w:val="left"/>
              <w:rPr>
                <w:rFonts w:hint="default"/>
              </w:rPr>
            </w:pPr>
            <w:r>
              <w:rPr>
                <w:rFonts w:hint="default"/>
              </w:rPr>
              <w:t>合同执行与监督分离</w:t>
            </w:r>
          </w:p>
          <w:p w14:paraId="7EED6B4E">
            <w:pPr>
              <w:keepNext w:val="0"/>
              <w:keepLines w:val="0"/>
              <w:suppressLineNumbers w:val="0"/>
              <w:spacing w:before="0" w:beforeAutospacing="0" w:after="0" w:afterAutospacing="0"/>
              <w:ind w:left="0" w:right="0"/>
              <w:jc w:val="left"/>
              <w:rPr>
                <w:rFonts w:hint="eastAsia" w:eastAsia="宋体" w:cs="楷体_GB2312"/>
                <w:color w:val="000000"/>
                <w:sz w:val="24"/>
                <w:lang w:eastAsia="zh-CN"/>
              </w:rPr>
            </w:pPr>
            <w:r>
              <w:rPr>
                <w:rFonts w:hint="eastAsia" w:ascii="楷体_GB2312" w:hAnsi="楷体_GB2312" w:eastAsia="楷体_GB2312" w:cs="楷体_GB2312"/>
                <w:color w:val="000000"/>
                <w:sz w:val="24"/>
                <w:lang w:val="en-US" w:eastAsia="zh-CN"/>
              </w:rPr>
              <w:t>是</w:t>
            </w:r>
          </w:p>
        </w:tc>
      </w:tr>
    </w:tbl>
    <w:p w14:paraId="19F1FE73">
      <w:pPr>
        <w:widowControl/>
        <w:tabs>
          <w:tab w:val="left" w:pos="851"/>
        </w:tabs>
        <w:spacing w:line="360" w:lineRule="auto"/>
        <w:ind w:firstLine="480" w:firstLineChars="200"/>
        <w:rPr>
          <w:rFonts w:eastAsia="楷体_GB2312" w:cs="楷体_GB2312"/>
          <w:color w:val="000000"/>
          <w:sz w:val="24"/>
        </w:rPr>
      </w:pPr>
      <w:r>
        <w:rPr>
          <w:rFonts w:hint="eastAsia" w:eastAsia="楷体_GB2312" w:cs="楷体_GB2312"/>
          <w:color w:val="000000"/>
          <w:sz w:val="24"/>
        </w:rPr>
        <w:t>说明：职责分离是指对于各业务环节中的不相容职责，不得由同一人员承担。需上传岗位职责说明书等作为佐证材料。</w:t>
      </w:r>
    </w:p>
    <w:p w14:paraId="3B51E75F">
      <w:pPr>
        <w:widowControl/>
        <w:tabs>
          <w:tab w:val="left" w:pos="851"/>
        </w:tabs>
        <w:spacing w:line="360" w:lineRule="auto"/>
        <w:rPr>
          <w:rFonts w:ascii="楷体" w:hAnsi="楷体" w:eastAsia="楷体" w:cs="楷体"/>
          <w:sz w:val="28"/>
          <w:szCs w:val="28"/>
        </w:rPr>
      </w:pPr>
      <w:r>
        <w:rPr>
          <w:rFonts w:hint="eastAsia" w:eastAsia="仿宋_GB2312" w:cs="仿宋_GB2312"/>
          <w:color w:val="000000"/>
          <w:spacing w:val="-12"/>
          <w:sz w:val="28"/>
          <w:szCs w:val="28"/>
        </w:rPr>
        <w:t>（三）关键岗位轮岗情况</w:t>
      </w:r>
    </w:p>
    <w:tbl>
      <w:tblPr>
        <w:tblStyle w:val="11"/>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77"/>
        <w:gridCol w:w="6711"/>
      </w:tblGrid>
      <w:tr w14:paraId="6B06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2077" w:type="dxa"/>
            <w:noWrap/>
            <w:vAlign w:val="center"/>
          </w:tcPr>
          <w:p w14:paraId="01679AA2">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预算业务</w:t>
            </w:r>
          </w:p>
        </w:tc>
        <w:tc>
          <w:tcPr>
            <w:tcW w:w="6711" w:type="dxa"/>
            <w:noWrap w:val="0"/>
            <w:vAlign w:val="center"/>
          </w:tcPr>
          <w:p w14:paraId="4C02C4A9">
            <w:pPr>
              <w:keepNext w:val="0"/>
              <w:keepLines w:val="0"/>
              <w:suppressLineNumbers w:val="0"/>
              <w:spacing w:before="0" w:beforeAutospacing="0" w:after="0" w:afterAutospacing="0"/>
              <w:ind w:left="0" w:right="0"/>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轮岗周期内所有关键岗位已轮岗或开展专项审计</w:t>
            </w:r>
          </w:p>
        </w:tc>
      </w:tr>
      <w:tr w14:paraId="7A53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5" w:hRule="atLeast"/>
          <w:jc w:val="center"/>
        </w:trPr>
        <w:tc>
          <w:tcPr>
            <w:tcW w:w="2077" w:type="dxa"/>
            <w:noWrap/>
            <w:vAlign w:val="center"/>
          </w:tcPr>
          <w:p w14:paraId="03F34039">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收支业务</w:t>
            </w:r>
          </w:p>
        </w:tc>
        <w:tc>
          <w:tcPr>
            <w:tcW w:w="6711" w:type="dxa"/>
            <w:noWrap w:val="0"/>
            <w:vAlign w:val="center"/>
          </w:tcPr>
          <w:p w14:paraId="2BC38117">
            <w:pPr>
              <w:keepNext w:val="0"/>
              <w:keepLines w:val="0"/>
              <w:suppressLineNumbers w:val="0"/>
              <w:spacing w:before="0" w:beforeAutospacing="0" w:after="0" w:afterAutospacing="0"/>
              <w:ind w:left="0" w:right="0"/>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轮岗周期内所有关键岗位已轮岗或开展专项审计</w:t>
            </w:r>
          </w:p>
        </w:tc>
      </w:tr>
      <w:tr w14:paraId="15A3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0" w:hRule="atLeast"/>
          <w:jc w:val="center"/>
        </w:trPr>
        <w:tc>
          <w:tcPr>
            <w:tcW w:w="2077" w:type="dxa"/>
            <w:noWrap/>
            <w:vAlign w:val="center"/>
          </w:tcPr>
          <w:p w14:paraId="083CCCC9">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政府采购业务</w:t>
            </w:r>
          </w:p>
        </w:tc>
        <w:tc>
          <w:tcPr>
            <w:tcW w:w="6711" w:type="dxa"/>
            <w:noWrap w:val="0"/>
            <w:vAlign w:val="center"/>
          </w:tcPr>
          <w:p w14:paraId="38AE0377">
            <w:pPr>
              <w:keepNext w:val="0"/>
              <w:keepLines w:val="0"/>
              <w:suppressLineNumbers w:val="0"/>
              <w:spacing w:before="0" w:beforeAutospacing="0" w:after="0" w:afterAutospacing="0"/>
              <w:ind w:left="0" w:right="0"/>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轮岗周期内所有关键岗位已轮岗或开展专项审计</w:t>
            </w:r>
          </w:p>
        </w:tc>
      </w:tr>
      <w:tr w14:paraId="3BDF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5" w:hRule="atLeast"/>
          <w:jc w:val="center"/>
        </w:trPr>
        <w:tc>
          <w:tcPr>
            <w:tcW w:w="2077" w:type="dxa"/>
            <w:noWrap/>
            <w:vAlign w:val="center"/>
          </w:tcPr>
          <w:p w14:paraId="53883E0D">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资产管理</w:t>
            </w:r>
          </w:p>
        </w:tc>
        <w:tc>
          <w:tcPr>
            <w:tcW w:w="6711" w:type="dxa"/>
            <w:noWrap w:val="0"/>
            <w:vAlign w:val="center"/>
          </w:tcPr>
          <w:p w14:paraId="48D17E07">
            <w:pPr>
              <w:keepNext w:val="0"/>
              <w:keepLines w:val="0"/>
              <w:suppressLineNumbers w:val="0"/>
              <w:spacing w:before="0" w:beforeAutospacing="0" w:after="0" w:afterAutospacing="0"/>
              <w:ind w:left="0" w:right="0"/>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轮岗周期内所有关键岗位已轮岗或开展专项审计</w:t>
            </w:r>
          </w:p>
        </w:tc>
      </w:tr>
      <w:tr w14:paraId="0F87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2077" w:type="dxa"/>
            <w:noWrap/>
            <w:vAlign w:val="center"/>
          </w:tcPr>
          <w:p w14:paraId="1A5E71FB">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建设项目管理</w:t>
            </w:r>
          </w:p>
        </w:tc>
        <w:tc>
          <w:tcPr>
            <w:tcW w:w="6711" w:type="dxa"/>
            <w:noWrap w:val="0"/>
            <w:vAlign w:val="center"/>
          </w:tcPr>
          <w:p w14:paraId="7C79012B">
            <w:pPr>
              <w:keepNext w:val="0"/>
              <w:keepLines w:val="0"/>
              <w:suppressLineNumbers w:val="0"/>
              <w:spacing w:before="0" w:beforeAutospacing="0" w:after="0" w:afterAutospacing="0"/>
              <w:ind w:left="0" w:right="0"/>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轮岗周期内所有关键岗位已轮岗或开展专项审计</w:t>
            </w:r>
          </w:p>
        </w:tc>
      </w:tr>
      <w:tr w14:paraId="6B04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0" w:hRule="atLeast"/>
          <w:jc w:val="center"/>
        </w:trPr>
        <w:tc>
          <w:tcPr>
            <w:tcW w:w="2077" w:type="dxa"/>
            <w:noWrap/>
            <w:vAlign w:val="center"/>
          </w:tcPr>
          <w:p w14:paraId="79B79C61">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合同管理</w:t>
            </w:r>
          </w:p>
        </w:tc>
        <w:tc>
          <w:tcPr>
            <w:tcW w:w="6711" w:type="dxa"/>
            <w:noWrap w:val="0"/>
            <w:vAlign w:val="center"/>
          </w:tcPr>
          <w:p w14:paraId="182F4F76">
            <w:pPr>
              <w:keepNext w:val="0"/>
              <w:keepLines w:val="0"/>
              <w:suppressLineNumbers w:val="0"/>
              <w:spacing w:before="0" w:beforeAutospacing="0" w:after="0" w:afterAutospacing="0"/>
              <w:ind w:left="0" w:right="0"/>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轮岗周期内所有关键岗位已轮岗或开展专项审计</w:t>
            </w:r>
          </w:p>
        </w:tc>
      </w:tr>
    </w:tbl>
    <w:p w14:paraId="512DD799">
      <w:pPr>
        <w:widowControl/>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说明：单位应当按照有关规定建立健全内部控制关键岗位责任制，对关键岗位人员实行轮岗交流，明确轮岗范围、轮岗周期与轮岗方式，不具备轮岗条件的可以采用专项审计等替代措施。需上传定期轮岗记录或专项审计报告等文件作为佐证材料。</w:t>
      </w:r>
    </w:p>
    <w:p w14:paraId="0F800CB2">
      <w:pPr>
        <w:widowControl/>
        <w:tabs>
          <w:tab w:val="left" w:pos="851"/>
        </w:tabs>
        <w:spacing w:line="360" w:lineRule="auto"/>
        <w:rPr>
          <w:rFonts w:eastAsia="仿宋_GB2312" w:cs="仿宋_GB2312"/>
          <w:color w:val="000000"/>
          <w:spacing w:val="-12"/>
          <w:sz w:val="28"/>
          <w:szCs w:val="28"/>
        </w:rPr>
      </w:pPr>
      <w:r>
        <w:rPr>
          <w:rFonts w:hint="eastAsia" w:eastAsia="仿宋_GB2312" w:cs="仿宋_GB2312"/>
          <w:color w:val="000000"/>
          <w:spacing w:val="-12"/>
          <w:sz w:val="28"/>
          <w:szCs w:val="28"/>
        </w:rPr>
        <w:t>（四）202</w:t>
      </w:r>
      <w:r>
        <w:rPr>
          <w:rFonts w:hint="eastAsia" w:eastAsia="仿宋_GB2312" w:cs="仿宋_GB2312"/>
          <w:color w:val="000000"/>
          <w:spacing w:val="-12"/>
          <w:sz w:val="28"/>
          <w:szCs w:val="28"/>
          <w:lang w:val="en-US" w:eastAsia="zh-CN"/>
        </w:rPr>
        <w:t>4</w:t>
      </w:r>
      <w:r>
        <w:rPr>
          <w:rFonts w:hint="eastAsia" w:eastAsia="仿宋_GB2312" w:cs="仿宋_GB2312"/>
          <w:color w:val="000000"/>
          <w:spacing w:val="-12"/>
          <w:sz w:val="28"/>
          <w:szCs w:val="28"/>
        </w:rPr>
        <w:t>年度业务层面风险评估覆盖情况</w:t>
      </w:r>
    </w:p>
    <w:tbl>
      <w:tblPr>
        <w:tblStyle w:val="11"/>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3"/>
        <w:gridCol w:w="1124"/>
        <w:gridCol w:w="2825"/>
        <w:gridCol w:w="1285"/>
      </w:tblGrid>
      <w:tr w14:paraId="3A09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13" w:type="dxa"/>
            <w:noWrap w:val="0"/>
            <w:vAlign w:val="center"/>
          </w:tcPr>
          <w:p w14:paraId="582D5010">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预算业务是否开展风险评估</w:t>
            </w:r>
          </w:p>
        </w:tc>
        <w:tc>
          <w:tcPr>
            <w:tcW w:w="1124" w:type="dxa"/>
            <w:noWrap w:val="0"/>
            <w:vAlign w:val="center"/>
          </w:tcPr>
          <w:p w14:paraId="1BAA936E">
            <w:pPr>
              <w:keepNext w:val="0"/>
              <w:keepLines w:val="0"/>
              <w:suppressLineNumbers w:val="0"/>
              <w:spacing w:before="0" w:beforeAutospacing="0" w:after="0" w:afterAutospacing="0"/>
              <w:ind w:left="0" w:right="0"/>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是</w:t>
            </w:r>
          </w:p>
        </w:tc>
        <w:tc>
          <w:tcPr>
            <w:tcW w:w="2825" w:type="dxa"/>
            <w:noWrap w:val="0"/>
            <w:vAlign w:val="center"/>
          </w:tcPr>
          <w:p w14:paraId="04B6AB51">
            <w:pPr>
              <w:keepNext w:val="0"/>
              <w:keepLines w:val="0"/>
              <w:suppressLineNumbers w:val="0"/>
              <w:spacing w:before="0" w:beforeAutospacing="0" w:after="0" w:afterAutospacing="0" w:line="320" w:lineRule="exact"/>
              <w:ind w:left="0" w:right="0"/>
              <w:rPr>
                <w:rFonts w:hint="eastAsia" w:eastAsia="仿宋_GB2312" w:cs="仿宋_GB2312"/>
                <w:color w:val="000000"/>
                <w:spacing w:val="-12"/>
                <w:sz w:val="24"/>
              </w:rPr>
            </w:pPr>
            <w:r>
              <w:rPr>
                <w:rFonts w:hint="eastAsia" w:eastAsia="仿宋_GB2312" w:cs="仿宋_GB2312"/>
                <w:color w:val="000000"/>
                <w:spacing w:val="-12"/>
                <w:sz w:val="24"/>
              </w:rPr>
              <w:t>收支业务是否开展风险评估</w:t>
            </w:r>
          </w:p>
        </w:tc>
        <w:tc>
          <w:tcPr>
            <w:tcW w:w="1285" w:type="dxa"/>
            <w:noWrap w:val="0"/>
            <w:vAlign w:val="center"/>
          </w:tcPr>
          <w:p w14:paraId="5FD1BC1D">
            <w:pPr>
              <w:keepNext w:val="0"/>
              <w:keepLines w:val="0"/>
              <w:suppressLineNumbers w:val="0"/>
              <w:spacing w:before="0" w:beforeAutospacing="0" w:after="0" w:afterAutospacing="0"/>
              <w:ind w:left="0" w:right="0"/>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是</w:t>
            </w:r>
          </w:p>
        </w:tc>
      </w:tr>
      <w:tr w14:paraId="1236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413" w:type="dxa"/>
            <w:noWrap w:val="0"/>
            <w:vAlign w:val="center"/>
          </w:tcPr>
          <w:p w14:paraId="620EFD0F">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政府采购业务是否开展风险评估</w:t>
            </w:r>
          </w:p>
        </w:tc>
        <w:tc>
          <w:tcPr>
            <w:tcW w:w="1124" w:type="dxa"/>
            <w:noWrap w:val="0"/>
            <w:vAlign w:val="center"/>
          </w:tcPr>
          <w:p w14:paraId="0133BCD3">
            <w:pPr>
              <w:keepNext w:val="0"/>
              <w:keepLines w:val="0"/>
              <w:suppressLineNumbers w:val="0"/>
              <w:spacing w:before="0" w:beforeAutospacing="0" w:after="0" w:afterAutospacing="0"/>
              <w:ind w:left="0" w:right="0"/>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是</w:t>
            </w:r>
          </w:p>
        </w:tc>
        <w:tc>
          <w:tcPr>
            <w:tcW w:w="2825" w:type="dxa"/>
            <w:noWrap w:val="0"/>
            <w:vAlign w:val="center"/>
          </w:tcPr>
          <w:p w14:paraId="4B8A0AFC">
            <w:pPr>
              <w:keepNext w:val="0"/>
              <w:keepLines w:val="0"/>
              <w:suppressLineNumbers w:val="0"/>
              <w:spacing w:before="0" w:beforeAutospacing="0" w:after="0" w:afterAutospacing="0" w:line="320" w:lineRule="exact"/>
              <w:ind w:left="0" w:right="0"/>
              <w:rPr>
                <w:rFonts w:hint="eastAsia" w:eastAsia="仿宋_GB2312" w:cs="仿宋_GB2312"/>
                <w:color w:val="000000"/>
                <w:spacing w:val="-12"/>
                <w:sz w:val="24"/>
              </w:rPr>
            </w:pPr>
            <w:r>
              <w:rPr>
                <w:rFonts w:hint="eastAsia" w:eastAsia="仿宋_GB2312" w:cs="仿宋_GB2312"/>
                <w:color w:val="000000"/>
                <w:spacing w:val="-12"/>
                <w:sz w:val="24"/>
              </w:rPr>
              <w:t>资产管理是否开展风险评估</w:t>
            </w:r>
          </w:p>
        </w:tc>
        <w:tc>
          <w:tcPr>
            <w:tcW w:w="1285" w:type="dxa"/>
            <w:noWrap w:val="0"/>
            <w:vAlign w:val="center"/>
          </w:tcPr>
          <w:p w14:paraId="428B60CB">
            <w:pPr>
              <w:keepNext w:val="0"/>
              <w:keepLines w:val="0"/>
              <w:suppressLineNumbers w:val="0"/>
              <w:spacing w:before="0" w:beforeAutospacing="0" w:after="0" w:afterAutospacing="0"/>
              <w:ind w:left="0" w:right="0"/>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是</w:t>
            </w:r>
          </w:p>
        </w:tc>
      </w:tr>
      <w:tr w14:paraId="1F06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413" w:type="dxa"/>
            <w:noWrap w:val="0"/>
            <w:vAlign w:val="center"/>
          </w:tcPr>
          <w:p w14:paraId="2D2EE020">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建设项目管理是否开展风险评估</w:t>
            </w:r>
          </w:p>
        </w:tc>
        <w:tc>
          <w:tcPr>
            <w:tcW w:w="1124" w:type="dxa"/>
            <w:noWrap w:val="0"/>
            <w:vAlign w:val="center"/>
          </w:tcPr>
          <w:p w14:paraId="1ADB230F">
            <w:pPr>
              <w:keepNext w:val="0"/>
              <w:keepLines w:val="0"/>
              <w:suppressLineNumbers w:val="0"/>
              <w:spacing w:before="0" w:beforeAutospacing="0" w:after="0" w:afterAutospacing="0"/>
              <w:ind w:left="0" w:right="0"/>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是</w:t>
            </w:r>
          </w:p>
        </w:tc>
        <w:tc>
          <w:tcPr>
            <w:tcW w:w="2825" w:type="dxa"/>
            <w:noWrap w:val="0"/>
            <w:vAlign w:val="center"/>
          </w:tcPr>
          <w:p w14:paraId="07A53EB4">
            <w:pPr>
              <w:keepNext w:val="0"/>
              <w:keepLines w:val="0"/>
              <w:suppressLineNumbers w:val="0"/>
              <w:spacing w:before="0" w:beforeAutospacing="0" w:after="0" w:afterAutospacing="0" w:line="320" w:lineRule="exact"/>
              <w:ind w:left="0" w:right="0"/>
              <w:rPr>
                <w:rFonts w:hint="eastAsia" w:eastAsia="仿宋_GB2312" w:cs="仿宋_GB2312"/>
                <w:color w:val="000000"/>
                <w:spacing w:val="-12"/>
                <w:sz w:val="24"/>
              </w:rPr>
            </w:pPr>
            <w:r>
              <w:rPr>
                <w:rFonts w:hint="eastAsia" w:eastAsia="仿宋_GB2312" w:cs="仿宋_GB2312"/>
                <w:color w:val="000000"/>
                <w:spacing w:val="-12"/>
                <w:sz w:val="24"/>
              </w:rPr>
              <w:t>合同管理是否开展风险评估</w:t>
            </w:r>
          </w:p>
        </w:tc>
        <w:tc>
          <w:tcPr>
            <w:tcW w:w="1285" w:type="dxa"/>
            <w:noWrap w:val="0"/>
            <w:vAlign w:val="center"/>
          </w:tcPr>
          <w:p w14:paraId="52C89C35">
            <w:pPr>
              <w:keepNext w:val="0"/>
              <w:keepLines w:val="0"/>
              <w:suppressLineNumbers w:val="0"/>
              <w:spacing w:before="0" w:beforeAutospacing="0" w:after="0" w:afterAutospacing="0"/>
              <w:ind w:left="0" w:right="0"/>
              <w:jc w:val="left"/>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sz w:val="24"/>
                <w:lang w:val="en-US" w:eastAsia="zh-CN"/>
              </w:rPr>
              <w:t>是</w:t>
            </w:r>
          </w:p>
        </w:tc>
      </w:tr>
      <w:tr w14:paraId="6CB5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647" w:type="dxa"/>
            <w:gridSpan w:val="4"/>
            <w:noWrap w:val="0"/>
            <w:vAlign w:val="center"/>
          </w:tcPr>
          <w:p w14:paraId="342504D8">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开展风险评估的其他业务领域：</w:t>
            </w:r>
          </w:p>
        </w:tc>
      </w:tr>
    </w:tbl>
    <w:p w14:paraId="0CC2E048">
      <w:pPr>
        <w:pStyle w:val="28"/>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说明：业务层面内部控制风险评估覆盖情况根据单位开展的2024年度风险评估工作以及出具的风险评估报告或其他文件，逐项勾选业务层面已进行内部控制风险评估的方面。需上传风险评估报告等材料作为佐证材料。</w:t>
      </w:r>
    </w:p>
    <w:p w14:paraId="517D14C5">
      <w:pPr>
        <w:widowControl/>
        <w:tabs>
          <w:tab w:val="left" w:pos="851"/>
        </w:tabs>
        <w:spacing w:line="360" w:lineRule="auto"/>
        <w:rPr>
          <w:rFonts w:eastAsia="仿宋_GB2312" w:cs="仿宋_GB2312"/>
          <w:color w:val="000000"/>
          <w:spacing w:val="-12"/>
          <w:sz w:val="28"/>
          <w:szCs w:val="28"/>
        </w:rPr>
      </w:pPr>
      <w:r>
        <w:rPr>
          <w:rFonts w:hint="eastAsia" w:eastAsia="仿宋_GB2312" w:cs="仿宋_GB2312"/>
          <w:color w:val="000000"/>
          <w:spacing w:val="-12"/>
          <w:sz w:val="28"/>
          <w:szCs w:val="28"/>
        </w:rPr>
        <w:t>（五）建立健全内部控制制度情况</w:t>
      </w:r>
    </w:p>
    <w:tbl>
      <w:tblPr>
        <w:tblStyle w:val="11"/>
        <w:tblW w:w="50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50"/>
        <w:gridCol w:w="1275"/>
        <w:gridCol w:w="1522"/>
        <w:gridCol w:w="1282"/>
        <w:gridCol w:w="3742"/>
      </w:tblGrid>
      <w:tr w14:paraId="6D44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750" w:type="dxa"/>
            <w:noWrap/>
            <w:vAlign w:val="center"/>
          </w:tcPr>
          <w:p w14:paraId="736DE298">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业务类型</w:t>
            </w:r>
          </w:p>
        </w:tc>
        <w:tc>
          <w:tcPr>
            <w:tcW w:w="1275" w:type="dxa"/>
            <w:noWrap w:val="0"/>
            <w:vAlign w:val="center"/>
          </w:tcPr>
          <w:p w14:paraId="41C401D2">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环节</w:t>
            </w:r>
          </w:p>
          <w:p w14:paraId="5A3F6915">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（类别）</w:t>
            </w:r>
          </w:p>
        </w:tc>
        <w:tc>
          <w:tcPr>
            <w:tcW w:w="1522" w:type="dxa"/>
            <w:noWrap w:val="0"/>
            <w:vAlign w:val="center"/>
          </w:tcPr>
          <w:p w14:paraId="4E351CD1">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是否已建立制度和流程图</w:t>
            </w:r>
          </w:p>
        </w:tc>
        <w:tc>
          <w:tcPr>
            <w:tcW w:w="1282" w:type="dxa"/>
            <w:noWrap w:val="0"/>
            <w:vAlign w:val="center"/>
          </w:tcPr>
          <w:p w14:paraId="4518FE8B">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2024</w:t>
            </w:r>
            <w:r>
              <w:rPr>
                <w:rFonts w:hint="eastAsia" w:eastAsia="仿宋_GB2312" w:cs="仿宋_GB2312"/>
                <w:color w:val="000000"/>
                <w:spacing w:val="-12"/>
                <w:sz w:val="24"/>
              </w:rPr>
              <w:t>年度是否更新</w:t>
            </w:r>
          </w:p>
        </w:tc>
        <w:tc>
          <w:tcPr>
            <w:tcW w:w="3742" w:type="dxa"/>
            <w:noWrap w:val="0"/>
            <w:vAlign w:val="center"/>
          </w:tcPr>
          <w:p w14:paraId="077E7D25">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内控制度覆盖关键管控点情况</w:t>
            </w:r>
          </w:p>
        </w:tc>
      </w:tr>
      <w:tr w14:paraId="7FE3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750" w:type="dxa"/>
            <w:vMerge w:val="restart"/>
            <w:noWrap/>
            <w:vAlign w:val="center"/>
          </w:tcPr>
          <w:p w14:paraId="687845C2">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预算业务</w:t>
            </w:r>
          </w:p>
        </w:tc>
        <w:tc>
          <w:tcPr>
            <w:tcW w:w="1275" w:type="dxa"/>
            <w:noWrap w:val="0"/>
            <w:vAlign w:val="center"/>
          </w:tcPr>
          <w:p w14:paraId="7439ED18">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预算编制与审核</w:t>
            </w:r>
          </w:p>
        </w:tc>
        <w:tc>
          <w:tcPr>
            <w:tcW w:w="1522" w:type="dxa"/>
            <w:noWrap w:val="0"/>
            <w:vAlign w:val="center"/>
          </w:tcPr>
          <w:p w14:paraId="7BD954BE">
            <w:pPr>
              <w:spacing w:line="320" w:lineRule="exact"/>
              <w:jc w:val="left"/>
              <w:rPr>
                <w:rFonts w:hint="eastAsia" w:eastAsia="楷体_GB2312" w:cs="楷体_GB2312"/>
                <w:color w:val="000000"/>
                <w:sz w:val="24"/>
              </w:rPr>
            </w:pPr>
            <w:r>
              <w:rPr>
                <w:rFonts w:hint="eastAsia" w:eastAsia="楷体_GB2312" w:cs="楷体_GB2312"/>
                <w:color w:val="000000"/>
                <w:sz w:val="24"/>
                <w:lang w:val="en-US" w:eastAsia="zh-CN"/>
              </w:rPr>
              <w:t>建立制度</w:t>
            </w:r>
            <w:r>
              <w:rPr>
                <w:rFonts w:hint="eastAsia" w:eastAsia="楷体_GB2312" w:cs="楷体_GB2312"/>
                <w:color w:val="000000"/>
                <w:sz w:val="24"/>
              </w:rPr>
              <w:t>：</w:t>
            </w:r>
          </w:p>
          <w:p w14:paraId="32F07295">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p w14:paraId="063EA318">
            <w:pPr>
              <w:spacing w:line="320" w:lineRule="exact"/>
              <w:jc w:val="left"/>
              <w:rPr>
                <w:rFonts w:hint="eastAsia" w:eastAsia="楷体_GB2312" w:cs="楷体_GB2312"/>
                <w:color w:val="000000"/>
                <w:sz w:val="24"/>
              </w:rPr>
            </w:pPr>
            <w:r>
              <w:rPr>
                <w:rFonts w:hint="eastAsia" w:eastAsia="楷体_GB2312" w:cs="楷体_GB2312"/>
                <w:color w:val="000000"/>
                <w:sz w:val="24"/>
                <w:lang w:val="en-US" w:eastAsia="zh-CN"/>
              </w:rPr>
              <w:t>建立流程图</w:t>
            </w:r>
            <w:r>
              <w:rPr>
                <w:rFonts w:hint="eastAsia" w:eastAsia="楷体_GB2312" w:cs="楷体_GB2312"/>
                <w:color w:val="000000"/>
                <w:sz w:val="24"/>
              </w:rPr>
              <w:t>：</w:t>
            </w:r>
          </w:p>
          <w:p w14:paraId="7F115D28">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是</w:t>
            </w:r>
          </w:p>
        </w:tc>
        <w:tc>
          <w:tcPr>
            <w:tcW w:w="1282" w:type="dxa"/>
            <w:vMerge w:val="restart"/>
            <w:noWrap w:val="0"/>
            <w:vAlign w:val="center"/>
          </w:tcPr>
          <w:p w14:paraId="5D2EF011">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更新</w:t>
            </w:r>
            <w:r>
              <w:rPr>
                <w:rFonts w:hint="default" w:eastAsia="楷体_GB2312" w:cs="楷体_GB2312"/>
                <w:color w:val="000000"/>
                <w:sz w:val="24"/>
                <w:lang w:val="en-US" w:eastAsia="zh-CN"/>
              </w:rPr>
              <w:t>制度：</w:t>
            </w:r>
          </w:p>
          <w:p w14:paraId="0943FA17">
            <w:pPr>
              <w:spacing w:line="320" w:lineRule="exact"/>
              <w:jc w:val="left"/>
              <w:rPr>
                <w:rFonts w:hint="default" w:eastAsia="楷体_GB2312" w:cs="楷体_GB2312"/>
                <w:color w:val="000000"/>
                <w:sz w:val="24"/>
              </w:rPr>
            </w:pPr>
            <w:r>
              <w:rPr>
                <w:rFonts w:hint="eastAsia" w:eastAsia="楷体_GB2312" w:cs="楷体_GB2312"/>
                <w:color w:val="000000"/>
                <w:sz w:val="24"/>
                <w:lang w:val="en-US" w:eastAsia="zh-CN"/>
              </w:rPr>
              <w:t>否</w:t>
            </w:r>
          </w:p>
          <w:p w14:paraId="2509B5E9">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更新</w:t>
            </w:r>
            <w:r>
              <w:rPr>
                <w:rFonts w:hint="default" w:eastAsia="楷体_GB2312" w:cs="楷体_GB2312"/>
                <w:color w:val="000000"/>
                <w:sz w:val="24"/>
                <w:lang w:val="en-US" w:eastAsia="zh-CN"/>
              </w:rPr>
              <w:t>流程图：</w:t>
            </w:r>
          </w:p>
          <w:p w14:paraId="4B138554">
            <w:pPr>
              <w:spacing w:line="320" w:lineRule="exact"/>
              <w:jc w:val="left"/>
              <w:rPr>
                <w:rFonts w:hint="eastAsia" w:eastAsia="楷体_GB2312" w:cs="楷体_GB2312"/>
                <w:color w:val="000000"/>
                <w:sz w:val="24"/>
              </w:rPr>
            </w:pPr>
            <w:r>
              <w:rPr>
                <w:rFonts w:hint="eastAsia" w:eastAsia="楷体_GB2312" w:cs="楷体_GB2312"/>
                <w:color w:val="000000"/>
                <w:sz w:val="24"/>
                <w:lang w:val="en-US" w:eastAsia="zh-CN"/>
              </w:rPr>
              <w:t>否</w:t>
            </w:r>
          </w:p>
        </w:tc>
        <w:tc>
          <w:tcPr>
            <w:tcW w:w="3742" w:type="dxa"/>
            <w:noWrap w:val="0"/>
            <w:vAlign w:val="center"/>
          </w:tcPr>
          <w:p w14:paraId="058093B9">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单位预算项目库入库标准与动态管理;单位预算编制主体、程序及标准;单位预算分解及下达;预决算公开</w:t>
            </w:r>
          </w:p>
        </w:tc>
      </w:tr>
      <w:tr w14:paraId="4D85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0" w:hRule="atLeast"/>
          <w:jc w:val="center"/>
        </w:trPr>
        <w:tc>
          <w:tcPr>
            <w:tcW w:w="750" w:type="dxa"/>
            <w:vMerge w:val="continue"/>
            <w:noWrap/>
            <w:vAlign w:val="center"/>
          </w:tcPr>
          <w:p w14:paraId="67DAE5B3">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244AFA78">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lang w:val="en-US" w:eastAsia="zh-CN"/>
              </w:rPr>
            </w:pPr>
            <w:r>
              <w:rPr>
                <w:rFonts w:hint="eastAsia" w:eastAsia="仿宋_GB2312" w:cs="仿宋_GB2312"/>
                <w:color w:val="000000"/>
                <w:spacing w:val="-12"/>
                <w:sz w:val="24"/>
              </w:rPr>
              <w:t>预算执行与调整</w:t>
            </w:r>
            <w:r>
              <w:rPr>
                <w:rFonts w:hint="eastAsia" w:eastAsia="仿宋_GB2312" w:cs="仿宋_GB2312"/>
                <w:color w:val="000000"/>
                <w:spacing w:val="-12"/>
                <w:sz w:val="24"/>
                <w:lang w:val="en-US" w:eastAsia="zh-CN"/>
              </w:rPr>
              <w:t>调剂</w:t>
            </w:r>
          </w:p>
        </w:tc>
        <w:tc>
          <w:tcPr>
            <w:tcW w:w="1522" w:type="dxa"/>
            <w:noWrap w:val="0"/>
            <w:vAlign w:val="center"/>
          </w:tcPr>
          <w:p w14:paraId="302A56BD">
            <w:pPr>
              <w:spacing w:line="320" w:lineRule="exact"/>
              <w:jc w:val="left"/>
              <w:rPr>
                <w:rFonts w:hint="eastAsia" w:eastAsia="楷体_GB2312" w:cs="楷体_GB2312"/>
                <w:color w:val="000000"/>
                <w:sz w:val="24"/>
              </w:rPr>
            </w:pPr>
            <w:r>
              <w:rPr>
                <w:rFonts w:hint="eastAsia" w:eastAsia="楷体_GB2312" w:cs="楷体_GB2312"/>
                <w:color w:val="000000"/>
                <w:sz w:val="24"/>
                <w:lang w:val="en-US" w:eastAsia="zh-CN"/>
              </w:rPr>
              <w:t>建立制度</w:t>
            </w:r>
            <w:r>
              <w:rPr>
                <w:rFonts w:hint="eastAsia" w:eastAsia="楷体_GB2312" w:cs="楷体_GB2312"/>
                <w:color w:val="000000"/>
                <w:sz w:val="24"/>
              </w:rPr>
              <w:t>：</w:t>
            </w:r>
          </w:p>
          <w:p w14:paraId="65DF1728">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是</w:t>
            </w:r>
          </w:p>
          <w:p w14:paraId="6F4B5EF2">
            <w:pPr>
              <w:spacing w:line="320" w:lineRule="exact"/>
              <w:jc w:val="left"/>
              <w:rPr>
                <w:rFonts w:hint="eastAsia" w:eastAsia="楷体_GB2312" w:cs="楷体_GB2312"/>
                <w:color w:val="000000"/>
                <w:sz w:val="24"/>
              </w:rPr>
            </w:pPr>
            <w:r>
              <w:rPr>
                <w:rFonts w:hint="eastAsia" w:eastAsia="楷体_GB2312" w:cs="楷体_GB2312"/>
                <w:color w:val="000000"/>
                <w:sz w:val="24"/>
                <w:lang w:val="en-US" w:eastAsia="zh-CN"/>
              </w:rPr>
              <w:t>建立流程图</w:t>
            </w:r>
            <w:r>
              <w:rPr>
                <w:rFonts w:hint="eastAsia" w:eastAsia="楷体_GB2312" w:cs="楷体_GB2312"/>
                <w:color w:val="000000"/>
                <w:sz w:val="24"/>
              </w:rPr>
              <w:t>：</w:t>
            </w:r>
          </w:p>
          <w:p w14:paraId="1FE9C797">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是</w:t>
            </w:r>
          </w:p>
        </w:tc>
        <w:tc>
          <w:tcPr>
            <w:tcW w:w="1282" w:type="dxa"/>
            <w:vMerge w:val="continue"/>
            <w:noWrap w:val="0"/>
            <w:vAlign w:val="center"/>
          </w:tcPr>
          <w:p w14:paraId="4D1618C3">
            <w:pPr>
              <w:spacing w:line="320" w:lineRule="exact"/>
              <w:jc w:val="left"/>
              <w:rPr>
                <w:rFonts w:hint="eastAsia" w:eastAsia="楷体_GB2312" w:cs="楷体_GB2312"/>
                <w:color w:val="000000"/>
                <w:sz w:val="24"/>
              </w:rPr>
            </w:pPr>
          </w:p>
        </w:tc>
        <w:tc>
          <w:tcPr>
            <w:tcW w:w="3742" w:type="dxa"/>
            <w:noWrap w:val="0"/>
            <w:vAlign w:val="center"/>
          </w:tcPr>
          <w:p w14:paraId="42F91F2C">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单位预算执行分析次数、内容及结果应用;单位预算调整调剂主体、程序及标准</w:t>
            </w:r>
          </w:p>
        </w:tc>
      </w:tr>
      <w:tr w14:paraId="6086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jc w:val="center"/>
        </w:trPr>
        <w:tc>
          <w:tcPr>
            <w:tcW w:w="750" w:type="dxa"/>
            <w:vMerge w:val="continue"/>
            <w:noWrap/>
            <w:vAlign w:val="center"/>
          </w:tcPr>
          <w:p w14:paraId="0568067B">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32EB6DEE">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决算管理</w:t>
            </w:r>
          </w:p>
        </w:tc>
        <w:tc>
          <w:tcPr>
            <w:tcW w:w="1522" w:type="dxa"/>
            <w:noWrap w:val="0"/>
            <w:vAlign w:val="center"/>
          </w:tcPr>
          <w:p w14:paraId="6D26161E">
            <w:pPr>
              <w:spacing w:line="320" w:lineRule="exact"/>
              <w:jc w:val="left"/>
              <w:rPr>
                <w:rFonts w:hint="eastAsia" w:eastAsia="楷体_GB2312" w:cs="楷体_GB2312"/>
                <w:color w:val="000000"/>
                <w:sz w:val="24"/>
              </w:rPr>
            </w:pPr>
            <w:r>
              <w:rPr>
                <w:rFonts w:hint="eastAsia" w:eastAsia="楷体_GB2312" w:cs="楷体_GB2312"/>
                <w:color w:val="000000"/>
                <w:sz w:val="24"/>
                <w:lang w:val="en-US" w:eastAsia="zh-CN"/>
              </w:rPr>
              <w:t>建立制度</w:t>
            </w:r>
            <w:r>
              <w:rPr>
                <w:rFonts w:hint="eastAsia" w:eastAsia="楷体_GB2312" w:cs="楷体_GB2312"/>
                <w:color w:val="000000"/>
                <w:sz w:val="24"/>
              </w:rPr>
              <w:t>：</w:t>
            </w:r>
          </w:p>
          <w:p w14:paraId="47B9D14A">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是</w:t>
            </w:r>
          </w:p>
          <w:p w14:paraId="2E9A6280">
            <w:pPr>
              <w:spacing w:line="320" w:lineRule="exact"/>
              <w:jc w:val="left"/>
              <w:rPr>
                <w:rFonts w:hint="eastAsia" w:eastAsia="楷体_GB2312" w:cs="楷体_GB2312"/>
                <w:color w:val="000000"/>
                <w:sz w:val="24"/>
              </w:rPr>
            </w:pPr>
            <w:r>
              <w:rPr>
                <w:rFonts w:hint="eastAsia" w:eastAsia="楷体_GB2312" w:cs="楷体_GB2312"/>
                <w:color w:val="000000"/>
                <w:sz w:val="24"/>
                <w:lang w:val="en-US" w:eastAsia="zh-CN"/>
              </w:rPr>
              <w:t>建立流程图</w:t>
            </w:r>
            <w:r>
              <w:rPr>
                <w:rFonts w:hint="eastAsia" w:eastAsia="楷体_GB2312" w:cs="楷体_GB2312"/>
                <w:color w:val="000000"/>
                <w:sz w:val="24"/>
              </w:rPr>
              <w:t>：</w:t>
            </w:r>
          </w:p>
          <w:p w14:paraId="7C78D70D">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是</w:t>
            </w:r>
          </w:p>
        </w:tc>
        <w:tc>
          <w:tcPr>
            <w:tcW w:w="1282" w:type="dxa"/>
            <w:vMerge w:val="continue"/>
            <w:noWrap w:val="0"/>
            <w:vAlign w:val="center"/>
          </w:tcPr>
          <w:p w14:paraId="6E72013D">
            <w:pPr>
              <w:spacing w:line="320" w:lineRule="exact"/>
              <w:jc w:val="left"/>
              <w:rPr>
                <w:rFonts w:hint="eastAsia" w:eastAsia="楷体_GB2312" w:cs="楷体_GB2312"/>
                <w:color w:val="000000"/>
                <w:sz w:val="24"/>
              </w:rPr>
            </w:pPr>
          </w:p>
        </w:tc>
        <w:tc>
          <w:tcPr>
            <w:tcW w:w="3742" w:type="dxa"/>
            <w:noWrap w:val="0"/>
            <w:vAlign w:val="center"/>
          </w:tcPr>
          <w:p w14:paraId="1F3789D5">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单位决算编制主体、程序及标准;单位决算分析报告内容与应用机制</w:t>
            </w:r>
          </w:p>
        </w:tc>
      </w:tr>
      <w:tr w14:paraId="220F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0" w:hRule="atLeast"/>
          <w:jc w:val="center"/>
        </w:trPr>
        <w:tc>
          <w:tcPr>
            <w:tcW w:w="750" w:type="dxa"/>
            <w:vMerge w:val="continue"/>
            <w:noWrap/>
            <w:vAlign w:val="center"/>
          </w:tcPr>
          <w:p w14:paraId="73C9779D">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7FA0F41D">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绩效管理</w:t>
            </w:r>
          </w:p>
        </w:tc>
        <w:tc>
          <w:tcPr>
            <w:tcW w:w="1522" w:type="dxa"/>
            <w:noWrap w:val="0"/>
            <w:vAlign w:val="center"/>
          </w:tcPr>
          <w:p w14:paraId="652FC952">
            <w:pPr>
              <w:spacing w:line="320" w:lineRule="exact"/>
              <w:jc w:val="left"/>
              <w:rPr>
                <w:rFonts w:hint="eastAsia" w:eastAsia="楷体_GB2312" w:cs="楷体_GB2312"/>
                <w:color w:val="000000"/>
                <w:sz w:val="24"/>
              </w:rPr>
            </w:pPr>
            <w:r>
              <w:rPr>
                <w:rFonts w:hint="eastAsia" w:eastAsia="楷体_GB2312" w:cs="楷体_GB2312"/>
                <w:color w:val="000000"/>
                <w:sz w:val="24"/>
                <w:lang w:val="en-US" w:eastAsia="zh-CN"/>
              </w:rPr>
              <w:t>建立制度</w:t>
            </w:r>
            <w:r>
              <w:rPr>
                <w:rFonts w:hint="eastAsia" w:eastAsia="楷体_GB2312" w:cs="楷体_GB2312"/>
                <w:color w:val="000000"/>
                <w:sz w:val="24"/>
              </w:rPr>
              <w:t>：</w:t>
            </w:r>
          </w:p>
          <w:p w14:paraId="691B2693">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是</w:t>
            </w:r>
          </w:p>
          <w:p w14:paraId="69046BC4">
            <w:pPr>
              <w:spacing w:line="320" w:lineRule="exact"/>
              <w:jc w:val="left"/>
              <w:rPr>
                <w:rFonts w:hint="eastAsia" w:eastAsia="楷体_GB2312" w:cs="楷体_GB2312"/>
                <w:color w:val="000000"/>
                <w:sz w:val="24"/>
              </w:rPr>
            </w:pPr>
            <w:r>
              <w:rPr>
                <w:rFonts w:hint="eastAsia" w:eastAsia="楷体_GB2312" w:cs="楷体_GB2312"/>
                <w:color w:val="000000"/>
                <w:sz w:val="24"/>
                <w:lang w:val="en-US" w:eastAsia="zh-CN"/>
              </w:rPr>
              <w:t>建立流程图</w:t>
            </w:r>
            <w:r>
              <w:rPr>
                <w:rFonts w:hint="eastAsia" w:eastAsia="楷体_GB2312" w:cs="楷体_GB2312"/>
                <w:color w:val="000000"/>
                <w:sz w:val="24"/>
              </w:rPr>
              <w:t>：</w:t>
            </w:r>
          </w:p>
          <w:p w14:paraId="3BFD5258">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是</w:t>
            </w:r>
          </w:p>
        </w:tc>
        <w:tc>
          <w:tcPr>
            <w:tcW w:w="1282" w:type="dxa"/>
            <w:vMerge w:val="continue"/>
            <w:noWrap w:val="0"/>
            <w:vAlign w:val="center"/>
          </w:tcPr>
          <w:p w14:paraId="4C08F9DB">
            <w:pPr>
              <w:spacing w:line="320" w:lineRule="exact"/>
              <w:jc w:val="left"/>
              <w:rPr>
                <w:rFonts w:hint="eastAsia" w:eastAsia="楷体_GB2312" w:cs="楷体_GB2312"/>
                <w:color w:val="000000"/>
                <w:sz w:val="24"/>
              </w:rPr>
            </w:pPr>
          </w:p>
        </w:tc>
        <w:tc>
          <w:tcPr>
            <w:tcW w:w="3742" w:type="dxa"/>
            <w:noWrap w:val="0"/>
            <w:vAlign w:val="center"/>
          </w:tcPr>
          <w:p w14:paraId="55D612C8">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单位新增重大预算项目事前评估程序;单位整体绩效目标设定与审核;单位项目绩效目标设定与审核;单位项目绩效运行监控;单位整体绩效评价主体、程序及结果应用;单位项目绩效评价主体、程序及结果应用</w:t>
            </w:r>
          </w:p>
        </w:tc>
      </w:tr>
      <w:tr w14:paraId="2E8F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0" w:hRule="atLeast"/>
          <w:jc w:val="center"/>
        </w:trPr>
        <w:tc>
          <w:tcPr>
            <w:tcW w:w="750" w:type="dxa"/>
            <w:vMerge w:val="restart"/>
            <w:noWrap/>
            <w:vAlign w:val="center"/>
          </w:tcPr>
          <w:p w14:paraId="1DC45406">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收支业务</w:t>
            </w:r>
          </w:p>
        </w:tc>
        <w:tc>
          <w:tcPr>
            <w:tcW w:w="1275" w:type="dxa"/>
            <w:noWrap w:val="0"/>
            <w:vAlign w:val="center"/>
          </w:tcPr>
          <w:p w14:paraId="33B9B5B1">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收入管理</w:t>
            </w:r>
          </w:p>
        </w:tc>
        <w:tc>
          <w:tcPr>
            <w:tcW w:w="1522" w:type="dxa"/>
            <w:noWrap w:val="0"/>
            <w:vAlign w:val="center"/>
          </w:tcPr>
          <w:p w14:paraId="694785BF">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建立制度：</w:t>
            </w:r>
          </w:p>
          <w:p w14:paraId="40221404">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p w14:paraId="4A9A7645">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建立流程图：</w:t>
            </w:r>
          </w:p>
          <w:p w14:paraId="60CF3E92">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restart"/>
            <w:noWrap w:val="0"/>
            <w:vAlign w:val="center"/>
          </w:tcPr>
          <w:p w14:paraId="7BDD2FC6">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更新</w:t>
            </w:r>
            <w:r>
              <w:rPr>
                <w:rFonts w:hint="default" w:eastAsia="楷体_GB2312" w:cs="楷体_GB2312"/>
                <w:color w:val="000000"/>
                <w:sz w:val="24"/>
                <w:lang w:val="en-US" w:eastAsia="zh-CN"/>
              </w:rPr>
              <w:t>制度：</w:t>
            </w:r>
          </w:p>
          <w:p w14:paraId="35821368">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否</w:t>
            </w:r>
          </w:p>
          <w:p w14:paraId="4AA5F6B8">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更新</w:t>
            </w:r>
            <w:r>
              <w:rPr>
                <w:rFonts w:hint="default" w:eastAsia="楷体_GB2312" w:cs="楷体_GB2312"/>
                <w:color w:val="000000"/>
                <w:sz w:val="24"/>
                <w:lang w:val="en-US" w:eastAsia="zh-CN"/>
              </w:rPr>
              <w:t>流程图：</w:t>
            </w:r>
          </w:p>
          <w:p w14:paraId="1FF2209E">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否</w:t>
            </w:r>
          </w:p>
        </w:tc>
        <w:tc>
          <w:tcPr>
            <w:tcW w:w="3742" w:type="dxa"/>
            <w:noWrap w:val="0"/>
            <w:vAlign w:val="center"/>
          </w:tcPr>
          <w:p w14:paraId="079A50DE">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单位财政收入种类与收缴管理;单位非财政收入种类与收缴管理</w:t>
            </w:r>
          </w:p>
        </w:tc>
      </w:tr>
      <w:tr w14:paraId="62B0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750" w:type="dxa"/>
            <w:vMerge w:val="continue"/>
            <w:noWrap/>
            <w:vAlign w:val="center"/>
          </w:tcPr>
          <w:p w14:paraId="26A5AC63">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572E0A14">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票据管理</w:t>
            </w:r>
          </w:p>
        </w:tc>
        <w:tc>
          <w:tcPr>
            <w:tcW w:w="1522" w:type="dxa"/>
            <w:noWrap w:val="0"/>
            <w:vAlign w:val="center"/>
          </w:tcPr>
          <w:p w14:paraId="50D61523">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建立制度：</w:t>
            </w:r>
          </w:p>
          <w:p w14:paraId="3E9B5027">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p w14:paraId="155A93FA">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建立流程图：</w:t>
            </w:r>
          </w:p>
          <w:p w14:paraId="0211905C">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continue"/>
            <w:noWrap w:val="0"/>
            <w:vAlign w:val="center"/>
          </w:tcPr>
          <w:p w14:paraId="17DCCB5F">
            <w:pPr>
              <w:spacing w:line="320" w:lineRule="exact"/>
              <w:jc w:val="left"/>
              <w:rPr>
                <w:rFonts w:hint="eastAsia" w:eastAsia="楷体_GB2312" w:cs="楷体_GB2312"/>
                <w:color w:val="000000"/>
                <w:sz w:val="24"/>
                <w:lang w:val="en-US" w:eastAsia="zh-CN"/>
              </w:rPr>
            </w:pPr>
          </w:p>
        </w:tc>
        <w:tc>
          <w:tcPr>
            <w:tcW w:w="3742" w:type="dxa"/>
            <w:noWrap w:val="0"/>
            <w:vAlign w:val="center"/>
          </w:tcPr>
          <w:p w14:paraId="3E713118">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单位财政票据申领、使用保管及核销;单位发票申领、使用保管及核销</w:t>
            </w:r>
          </w:p>
        </w:tc>
      </w:tr>
      <w:tr w14:paraId="157C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750" w:type="dxa"/>
            <w:vMerge w:val="restart"/>
            <w:noWrap/>
            <w:vAlign w:val="center"/>
          </w:tcPr>
          <w:p w14:paraId="19AD2848">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244B3238">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支出管理</w:t>
            </w:r>
          </w:p>
        </w:tc>
        <w:tc>
          <w:tcPr>
            <w:tcW w:w="1522" w:type="dxa"/>
            <w:noWrap w:val="0"/>
            <w:vAlign w:val="center"/>
          </w:tcPr>
          <w:p w14:paraId="1751CE04">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建立制度：</w:t>
            </w:r>
          </w:p>
          <w:p w14:paraId="39BA1146">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p w14:paraId="3F4CEE4B">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建立流程图：</w:t>
            </w:r>
          </w:p>
          <w:p w14:paraId="79B246FC">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continue"/>
            <w:noWrap w:val="0"/>
            <w:vAlign w:val="center"/>
          </w:tcPr>
          <w:p w14:paraId="4D71B492">
            <w:pPr>
              <w:spacing w:line="320" w:lineRule="exact"/>
              <w:jc w:val="left"/>
              <w:rPr>
                <w:rFonts w:hint="eastAsia" w:eastAsia="楷体_GB2312" w:cs="楷体_GB2312"/>
                <w:color w:val="000000"/>
                <w:sz w:val="24"/>
                <w:lang w:val="en-US" w:eastAsia="zh-CN"/>
              </w:rPr>
            </w:pPr>
          </w:p>
        </w:tc>
        <w:tc>
          <w:tcPr>
            <w:tcW w:w="3742" w:type="dxa"/>
            <w:noWrap w:val="0"/>
            <w:vAlign w:val="center"/>
          </w:tcPr>
          <w:p w14:paraId="4895D88A">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单位支出范围与标准;单位各类支出审批权限;单位支出核算和归档;单位大额债务的举债集体决策程序</w:t>
            </w:r>
          </w:p>
        </w:tc>
      </w:tr>
      <w:tr w14:paraId="1737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750" w:type="dxa"/>
            <w:vMerge w:val="continue"/>
            <w:noWrap/>
            <w:vAlign w:val="center"/>
          </w:tcPr>
          <w:p w14:paraId="642DD834">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180B469F">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公务卡管理</w:t>
            </w:r>
          </w:p>
        </w:tc>
        <w:tc>
          <w:tcPr>
            <w:tcW w:w="1522" w:type="dxa"/>
            <w:noWrap w:val="0"/>
            <w:vAlign w:val="center"/>
          </w:tcPr>
          <w:p w14:paraId="1409962B">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建立制度：</w:t>
            </w:r>
          </w:p>
          <w:p w14:paraId="375C3CE8">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p w14:paraId="3217CEB2">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建立流程图：</w:t>
            </w:r>
          </w:p>
          <w:p w14:paraId="3D8B3A4E">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continue"/>
            <w:noWrap w:val="0"/>
            <w:vAlign w:val="center"/>
          </w:tcPr>
          <w:p w14:paraId="187CF415">
            <w:pPr>
              <w:spacing w:line="320" w:lineRule="exact"/>
              <w:jc w:val="left"/>
              <w:rPr>
                <w:rFonts w:hint="eastAsia" w:eastAsia="楷体_GB2312" w:cs="楷体_GB2312"/>
                <w:color w:val="000000"/>
                <w:sz w:val="24"/>
                <w:lang w:val="en-US" w:eastAsia="zh-CN"/>
              </w:rPr>
            </w:pPr>
          </w:p>
        </w:tc>
        <w:tc>
          <w:tcPr>
            <w:tcW w:w="3742" w:type="dxa"/>
            <w:noWrap w:val="0"/>
            <w:vAlign w:val="center"/>
          </w:tcPr>
          <w:p w14:paraId="526AB330">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单位公务卡结算范围及报销程序;单位公务卡办卡及销卡管理</w:t>
            </w:r>
          </w:p>
        </w:tc>
      </w:tr>
      <w:tr w14:paraId="0C8D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17" w:hRule="atLeast"/>
          <w:jc w:val="center"/>
        </w:trPr>
        <w:tc>
          <w:tcPr>
            <w:tcW w:w="750" w:type="dxa"/>
            <w:vMerge w:val="restart"/>
            <w:noWrap/>
            <w:vAlign w:val="center"/>
          </w:tcPr>
          <w:p w14:paraId="1FA183A0">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政府采购业务</w:t>
            </w:r>
          </w:p>
        </w:tc>
        <w:tc>
          <w:tcPr>
            <w:tcW w:w="1275" w:type="dxa"/>
            <w:noWrap w:val="0"/>
            <w:vAlign w:val="center"/>
          </w:tcPr>
          <w:p w14:paraId="5ADD88DB">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 xml:space="preserve">采购需求管理 </w:t>
            </w:r>
          </w:p>
        </w:tc>
        <w:tc>
          <w:tcPr>
            <w:tcW w:w="1522" w:type="dxa"/>
            <w:noWrap w:val="0"/>
            <w:vAlign w:val="center"/>
          </w:tcPr>
          <w:p w14:paraId="5A04A8E2">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建立制度：</w:t>
            </w:r>
          </w:p>
          <w:p w14:paraId="550F962C">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p w14:paraId="3547210C">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建立流程图：</w:t>
            </w:r>
          </w:p>
          <w:p w14:paraId="24CB038C">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restart"/>
            <w:noWrap w:val="0"/>
            <w:vAlign w:val="center"/>
          </w:tcPr>
          <w:p w14:paraId="5FF4F7CC">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更新</w:t>
            </w:r>
            <w:r>
              <w:rPr>
                <w:rFonts w:hint="default" w:eastAsia="楷体_GB2312" w:cs="楷体_GB2312"/>
                <w:color w:val="000000"/>
                <w:sz w:val="24"/>
                <w:lang w:val="en-US" w:eastAsia="zh-CN"/>
              </w:rPr>
              <w:t>制度：</w:t>
            </w:r>
          </w:p>
          <w:p w14:paraId="762FBEA2">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否</w:t>
            </w:r>
          </w:p>
          <w:p w14:paraId="00748623">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更新</w:t>
            </w:r>
            <w:r>
              <w:rPr>
                <w:rFonts w:hint="default" w:eastAsia="楷体_GB2312" w:cs="楷体_GB2312"/>
                <w:color w:val="000000"/>
                <w:sz w:val="24"/>
                <w:lang w:val="en-US" w:eastAsia="zh-CN"/>
              </w:rPr>
              <w:t>流程图：</w:t>
            </w:r>
          </w:p>
          <w:p w14:paraId="4BF566B0">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否</w:t>
            </w:r>
            <w:r>
              <w:rPr>
                <w:rFonts w:hint="default" w:eastAsia="楷体_GB2312" w:cs="楷体_GB2312"/>
                <w:color w:val="000000"/>
                <w:sz w:val="24"/>
                <w:lang w:val="en-US" w:eastAsia="zh-CN"/>
              </w:rPr>
              <w:br w:type="textWrapping"/>
            </w:r>
          </w:p>
        </w:tc>
        <w:tc>
          <w:tcPr>
            <w:tcW w:w="3742" w:type="dxa"/>
            <w:noWrap w:val="0"/>
            <w:vAlign w:val="center"/>
          </w:tcPr>
          <w:p w14:paraId="4CD3872F">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采购需求的内容、合法性、合规性、合理性;采购需求调查的主体、范围、内容、形式、存档;采购实施计划（包括采购项目预算、采购组织形式、采购方式、落实政府采购政策等）的内容、存档;采购需求审查的范围、内容、成员、程序、存档</w:t>
            </w:r>
          </w:p>
        </w:tc>
      </w:tr>
      <w:tr w14:paraId="7445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2" w:hRule="atLeast"/>
          <w:jc w:val="center"/>
        </w:trPr>
        <w:tc>
          <w:tcPr>
            <w:tcW w:w="750" w:type="dxa"/>
            <w:vMerge w:val="continue"/>
            <w:noWrap/>
            <w:vAlign w:val="center"/>
          </w:tcPr>
          <w:p w14:paraId="2257DE61">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5D297502">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变更采购方式</w:t>
            </w:r>
          </w:p>
        </w:tc>
        <w:tc>
          <w:tcPr>
            <w:tcW w:w="1522" w:type="dxa"/>
            <w:noWrap w:val="0"/>
            <w:vAlign w:val="center"/>
          </w:tcPr>
          <w:p w14:paraId="4763BBA1">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建立制度：</w:t>
            </w:r>
          </w:p>
          <w:p w14:paraId="643F5D33">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p w14:paraId="5453CFF8">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建立流程图：</w:t>
            </w:r>
          </w:p>
          <w:p w14:paraId="2CDC1991">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continue"/>
            <w:noWrap w:val="0"/>
            <w:vAlign w:val="center"/>
          </w:tcPr>
          <w:p w14:paraId="1F7C4B2D">
            <w:pPr>
              <w:spacing w:line="320" w:lineRule="exact"/>
              <w:jc w:val="left"/>
              <w:rPr>
                <w:rFonts w:hint="eastAsia" w:eastAsia="楷体_GB2312" w:cs="楷体_GB2312"/>
                <w:color w:val="000000"/>
                <w:sz w:val="24"/>
                <w:lang w:val="en-US" w:eastAsia="zh-CN"/>
              </w:rPr>
            </w:pPr>
          </w:p>
        </w:tc>
        <w:tc>
          <w:tcPr>
            <w:tcW w:w="3742" w:type="dxa"/>
            <w:noWrap w:val="0"/>
            <w:vAlign w:val="center"/>
          </w:tcPr>
          <w:p w14:paraId="77609C27">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申请变更采购方式的主体、程序</w:t>
            </w:r>
          </w:p>
        </w:tc>
      </w:tr>
      <w:tr w14:paraId="5312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750" w:type="dxa"/>
            <w:vMerge w:val="continue"/>
            <w:noWrap/>
            <w:vAlign w:val="center"/>
          </w:tcPr>
          <w:p w14:paraId="170F307F">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0A481C1C">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采购进口产品</w:t>
            </w:r>
          </w:p>
        </w:tc>
        <w:tc>
          <w:tcPr>
            <w:tcW w:w="1522" w:type="dxa"/>
            <w:noWrap w:val="0"/>
            <w:vAlign w:val="center"/>
          </w:tcPr>
          <w:p w14:paraId="72C43C9D">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建立制度：</w:t>
            </w:r>
          </w:p>
          <w:p w14:paraId="7A1BEEB7">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p w14:paraId="7FF75C3A">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建立流程图：</w:t>
            </w:r>
          </w:p>
          <w:p w14:paraId="7349D1D0">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continue"/>
            <w:noWrap w:val="0"/>
            <w:vAlign w:val="center"/>
          </w:tcPr>
          <w:p w14:paraId="0FA4C837">
            <w:pPr>
              <w:spacing w:line="320" w:lineRule="exact"/>
              <w:jc w:val="left"/>
              <w:rPr>
                <w:rFonts w:hint="eastAsia" w:eastAsia="楷体_GB2312" w:cs="楷体_GB2312"/>
                <w:color w:val="000000"/>
                <w:sz w:val="24"/>
                <w:lang w:val="en-US" w:eastAsia="zh-CN"/>
              </w:rPr>
            </w:pPr>
          </w:p>
        </w:tc>
        <w:tc>
          <w:tcPr>
            <w:tcW w:w="3742" w:type="dxa"/>
            <w:noWrap w:val="0"/>
            <w:vAlign w:val="center"/>
          </w:tcPr>
          <w:p w14:paraId="6BFE1AF5">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申请采购进口产品的主体、程序</w:t>
            </w:r>
          </w:p>
        </w:tc>
      </w:tr>
      <w:tr w14:paraId="1225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6" w:hRule="atLeast"/>
          <w:jc w:val="center"/>
        </w:trPr>
        <w:tc>
          <w:tcPr>
            <w:tcW w:w="750" w:type="dxa"/>
            <w:vMerge w:val="continue"/>
            <w:noWrap/>
            <w:vAlign w:val="center"/>
          </w:tcPr>
          <w:p w14:paraId="05E7DD77">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2A9C4A87">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履约验收</w:t>
            </w:r>
          </w:p>
        </w:tc>
        <w:tc>
          <w:tcPr>
            <w:tcW w:w="1522" w:type="dxa"/>
            <w:noWrap w:val="0"/>
            <w:vAlign w:val="center"/>
          </w:tcPr>
          <w:p w14:paraId="0314286B">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建立制度：</w:t>
            </w:r>
          </w:p>
          <w:p w14:paraId="3D2269B7">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p w14:paraId="7A796309">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建立流程图：</w:t>
            </w:r>
          </w:p>
          <w:p w14:paraId="75CACF29">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continue"/>
            <w:noWrap w:val="0"/>
            <w:vAlign w:val="center"/>
          </w:tcPr>
          <w:p w14:paraId="1FC0CCCB">
            <w:pPr>
              <w:spacing w:line="320" w:lineRule="exact"/>
              <w:jc w:val="left"/>
              <w:rPr>
                <w:rFonts w:hint="eastAsia" w:eastAsia="楷体_GB2312" w:cs="楷体_GB2312"/>
                <w:color w:val="000000"/>
                <w:sz w:val="24"/>
                <w:lang w:val="en-US" w:eastAsia="zh-CN"/>
              </w:rPr>
            </w:pPr>
          </w:p>
        </w:tc>
        <w:tc>
          <w:tcPr>
            <w:tcW w:w="3742" w:type="dxa"/>
            <w:noWrap w:val="0"/>
            <w:vAlign w:val="center"/>
          </w:tcPr>
          <w:p w14:paraId="6BC9B298">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履约验收的主体、时间、方式、程序、内容、验收标准等</w:t>
            </w:r>
          </w:p>
        </w:tc>
      </w:tr>
      <w:tr w14:paraId="10B4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750" w:type="dxa"/>
            <w:vMerge w:val="continue"/>
            <w:noWrap/>
            <w:vAlign w:val="center"/>
          </w:tcPr>
          <w:p w14:paraId="6A4DB9D7">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650254C1">
            <w:pPr>
              <w:keepNext w:val="0"/>
              <w:keepLines w:val="0"/>
              <w:suppressLineNumbers w:val="0"/>
              <w:spacing w:before="0" w:beforeAutospacing="0" w:after="0" w:afterAutospacing="0" w:line="320" w:lineRule="exact"/>
              <w:ind w:left="0" w:right="0"/>
              <w:jc w:val="center"/>
              <w:rPr>
                <w:rFonts w:hint="default" w:eastAsia="仿宋_GB2312" w:cs="仿宋_GB2312"/>
                <w:color w:val="000000"/>
                <w:spacing w:val="-12"/>
                <w:sz w:val="24"/>
              </w:rPr>
            </w:pPr>
            <w:r>
              <w:rPr>
                <w:rFonts w:hint="eastAsia" w:eastAsia="仿宋_GB2312" w:cs="仿宋_GB2312"/>
                <w:color w:val="000000"/>
                <w:spacing w:val="-12"/>
                <w:sz w:val="24"/>
              </w:rPr>
              <w:t>信息公开</w:t>
            </w:r>
          </w:p>
        </w:tc>
        <w:tc>
          <w:tcPr>
            <w:tcW w:w="1522" w:type="dxa"/>
            <w:noWrap w:val="0"/>
            <w:vAlign w:val="center"/>
          </w:tcPr>
          <w:p w14:paraId="569FBDFD">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建立制度：</w:t>
            </w:r>
          </w:p>
          <w:p w14:paraId="7AE27611">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p w14:paraId="064CB10C">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建立流程图：</w:t>
            </w:r>
          </w:p>
          <w:p w14:paraId="170DDB5D">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continue"/>
            <w:noWrap w:val="0"/>
            <w:vAlign w:val="center"/>
          </w:tcPr>
          <w:p w14:paraId="64295E07">
            <w:pPr>
              <w:spacing w:line="320" w:lineRule="exact"/>
              <w:jc w:val="left"/>
              <w:rPr>
                <w:rFonts w:hint="eastAsia" w:eastAsia="楷体_GB2312" w:cs="楷体_GB2312"/>
                <w:color w:val="000000"/>
                <w:sz w:val="24"/>
                <w:lang w:val="en-US" w:eastAsia="zh-CN"/>
              </w:rPr>
            </w:pPr>
          </w:p>
        </w:tc>
        <w:tc>
          <w:tcPr>
            <w:tcW w:w="3742" w:type="dxa"/>
            <w:noWrap w:val="0"/>
            <w:vAlign w:val="center"/>
          </w:tcPr>
          <w:p w14:paraId="7A4C0548">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信息公开的主体、范围、时间、内容、程序</w:t>
            </w:r>
          </w:p>
        </w:tc>
      </w:tr>
      <w:tr w14:paraId="15F0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750" w:type="dxa"/>
            <w:shd w:val="clear" w:color="auto" w:fill="auto"/>
            <w:noWrap/>
            <w:vAlign w:val="center"/>
          </w:tcPr>
          <w:p w14:paraId="29C6BB6C">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eastAsia="仿宋_GB2312" w:cs="仿宋_GB2312"/>
                <w:color w:val="000000"/>
                <w:spacing w:val="-12"/>
                <w:kern w:val="2"/>
                <w:sz w:val="24"/>
                <w:szCs w:val="24"/>
                <w:lang w:val="en-US" w:eastAsia="zh-CN" w:bidi="ar-SA"/>
              </w:rPr>
            </w:pPr>
            <w:r>
              <w:rPr>
                <w:rFonts w:hint="eastAsia" w:eastAsia="仿宋_GB2312" w:cs="仿宋_GB2312"/>
                <w:color w:val="000000"/>
                <w:spacing w:val="-12"/>
                <w:sz w:val="24"/>
              </w:rPr>
              <w:t>业务类型</w:t>
            </w:r>
          </w:p>
        </w:tc>
        <w:tc>
          <w:tcPr>
            <w:tcW w:w="1275" w:type="dxa"/>
            <w:shd w:val="clear" w:color="auto" w:fill="auto"/>
            <w:noWrap w:val="0"/>
            <w:vAlign w:val="center"/>
          </w:tcPr>
          <w:p w14:paraId="31655D33">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环节</w:t>
            </w:r>
          </w:p>
          <w:p w14:paraId="43D799AC">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eastAsia="仿宋_GB2312" w:cs="仿宋_GB2312"/>
                <w:color w:val="000000"/>
                <w:spacing w:val="-12"/>
                <w:kern w:val="2"/>
                <w:sz w:val="24"/>
                <w:szCs w:val="24"/>
                <w:lang w:val="en-US" w:eastAsia="zh-CN" w:bidi="ar-SA"/>
              </w:rPr>
            </w:pPr>
            <w:r>
              <w:rPr>
                <w:rFonts w:hint="eastAsia" w:eastAsia="仿宋_GB2312" w:cs="仿宋_GB2312"/>
                <w:color w:val="000000"/>
                <w:spacing w:val="-12"/>
                <w:sz w:val="24"/>
              </w:rPr>
              <w:t>（类别）</w:t>
            </w:r>
          </w:p>
        </w:tc>
        <w:tc>
          <w:tcPr>
            <w:tcW w:w="1522" w:type="dxa"/>
            <w:shd w:val="clear" w:color="auto" w:fill="auto"/>
            <w:noWrap w:val="0"/>
            <w:vAlign w:val="center"/>
          </w:tcPr>
          <w:p w14:paraId="02111F32">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eastAsia="仿宋_GB2312" w:cs="仿宋_GB2312"/>
                <w:color w:val="000000"/>
                <w:spacing w:val="-12"/>
                <w:kern w:val="2"/>
                <w:sz w:val="24"/>
                <w:szCs w:val="24"/>
                <w:lang w:val="en-US" w:eastAsia="zh-CN" w:bidi="ar-SA"/>
              </w:rPr>
            </w:pPr>
            <w:r>
              <w:rPr>
                <w:rFonts w:hint="eastAsia" w:eastAsia="仿宋_GB2312" w:cs="仿宋_GB2312"/>
                <w:color w:val="000000"/>
                <w:spacing w:val="-12"/>
                <w:sz w:val="24"/>
              </w:rPr>
              <w:t>是否已建立制度和流程图</w:t>
            </w:r>
          </w:p>
        </w:tc>
        <w:tc>
          <w:tcPr>
            <w:tcW w:w="1282" w:type="dxa"/>
            <w:shd w:val="clear" w:color="auto" w:fill="auto"/>
            <w:noWrap w:val="0"/>
            <w:vAlign w:val="center"/>
          </w:tcPr>
          <w:p w14:paraId="081E544E">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eastAsia="仿宋_GB2312" w:cs="仿宋_GB2312"/>
                <w:color w:val="000000"/>
                <w:spacing w:val="-12"/>
                <w:kern w:val="2"/>
                <w:sz w:val="24"/>
                <w:szCs w:val="24"/>
                <w:lang w:val="en-US" w:eastAsia="zh-CN" w:bidi="ar-SA"/>
              </w:rPr>
            </w:pPr>
            <w:r>
              <w:rPr>
                <w:rFonts w:hint="eastAsia" w:eastAsia="仿宋_GB2312" w:cs="仿宋_GB2312"/>
                <w:color w:val="000000"/>
                <w:spacing w:val="-12"/>
                <w:sz w:val="24"/>
                <w:lang w:eastAsia="zh-CN"/>
              </w:rPr>
              <w:t>2024</w:t>
            </w:r>
            <w:r>
              <w:rPr>
                <w:rFonts w:hint="eastAsia" w:eastAsia="仿宋_GB2312" w:cs="仿宋_GB2312"/>
                <w:color w:val="000000"/>
                <w:spacing w:val="-12"/>
                <w:sz w:val="24"/>
              </w:rPr>
              <w:t>年度是否更新</w:t>
            </w:r>
          </w:p>
        </w:tc>
        <w:tc>
          <w:tcPr>
            <w:tcW w:w="3742" w:type="dxa"/>
            <w:shd w:val="clear" w:color="auto" w:fill="auto"/>
            <w:noWrap w:val="0"/>
            <w:vAlign w:val="center"/>
          </w:tcPr>
          <w:p w14:paraId="56C31924">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eastAsia="仿宋_GB2312" w:cs="仿宋_GB2312"/>
                <w:color w:val="000000"/>
                <w:spacing w:val="-12"/>
                <w:kern w:val="2"/>
                <w:sz w:val="24"/>
                <w:szCs w:val="24"/>
                <w:lang w:val="en-US" w:eastAsia="zh-CN" w:bidi="ar-SA"/>
              </w:rPr>
            </w:pPr>
            <w:r>
              <w:rPr>
                <w:rFonts w:hint="eastAsia" w:eastAsia="仿宋_GB2312" w:cs="仿宋_GB2312"/>
                <w:color w:val="000000"/>
                <w:spacing w:val="-12"/>
                <w:sz w:val="24"/>
              </w:rPr>
              <w:t>内控制度覆盖关键管控点情况</w:t>
            </w:r>
          </w:p>
        </w:tc>
      </w:tr>
      <w:tr w14:paraId="3C30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5" w:hRule="atLeast"/>
          <w:jc w:val="center"/>
        </w:trPr>
        <w:tc>
          <w:tcPr>
            <w:tcW w:w="750" w:type="dxa"/>
            <w:vMerge w:val="restart"/>
            <w:noWrap/>
            <w:vAlign w:val="center"/>
          </w:tcPr>
          <w:p w14:paraId="20896290">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资产管理</w:t>
            </w:r>
          </w:p>
        </w:tc>
        <w:tc>
          <w:tcPr>
            <w:tcW w:w="1275" w:type="dxa"/>
            <w:noWrap w:val="0"/>
            <w:vAlign w:val="center"/>
          </w:tcPr>
          <w:p w14:paraId="731FC358">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货币资金管理</w:t>
            </w:r>
          </w:p>
        </w:tc>
        <w:tc>
          <w:tcPr>
            <w:tcW w:w="1522" w:type="dxa"/>
            <w:noWrap w:val="0"/>
            <w:vAlign w:val="center"/>
          </w:tcPr>
          <w:p w14:paraId="216F42D9">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建立制度：</w:t>
            </w:r>
          </w:p>
          <w:p w14:paraId="230383F7">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是</w:t>
            </w:r>
          </w:p>
          <w:p w14:paraId="1FD5CA29">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建立流程图：</w:t>
            </w:r>
          </w:p>
          <w:p w14:paraId="5152771E">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restart"/>
            <w:noWrap w:val="0"/>
            <w:vAlign w:val="center"/>
          </w:tcPr>
          <w:p w14:paraId="7EBB97FC">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更新</w:t>
            </w:r>
            <w:r>
              <w:rPr>
                <w:rFonts w:hint="default" w:eastAsia="楷体_GB2312" w:cs="楷体_GB2312"/>
                <w:color w:val="000000"/>
                <w:sz w:val="24"/>
                <w:lang w:val="en-US" w:eastAsia="zh-CN"/>
              </w:rPr>
              <w:t>制度：</w:t>
            </w:r>
          </w:p>
          <w:p w14:paraId="6E6E7C2D">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否</w:t>
            </w:r>
          </w:p>
          <w:p w14:paraId="7DBAE4A4">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更新</w:t>
            </w:r>
            <w:r>
              <w:rPr>
                <w:rFonts w:hint="default" w:eastAsia="楷体_GB2312" w:cs="楷体_GB2312"/>
                <w:color w:val="000000"/>
                <w:sz w:val="24"/>
                <w:lang w:val="en-US" w:eastAsia="zh-CN"/>
              </w:rPr>
              <w:t>流程图：</w:t>
            </w:r>
          </w:p>
          <w:p w14:paraId="78E49E86">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否</w:t>
            </w:r>
          </w:p>
        </w:tc>
        <w:tc>
          <w:tcPr>
            <w:tcW w:w="3742" w:type="dxa"/>
            <w:noWrap w:val="0"/>
            <w:vAlign w:val="center"/>
          </w:tcPr>
          <w:p w14:paraId="5C71B391">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单位银行账户类型，开立、变更、撤销程序;单位货币资金盘点、银行对账程序;单位财务印章、银行密钥管理</w:t>
            </w:r>
          </w:p>
        </w:tc>
      </w:tr>
      <w:tr w14:paraId="018A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6" w:hRule="atLeast"/>
          <w:jc w:val="center"/>
        </w:trPr>
        <w:tc>
          <w:tcPr>
            <w:tcW w:w="750" w:type="dxa"/>
            <w:vMerge w:val="continue"/>
            <w:noWrap/>
            <w:vAlign w:val="center"/>
          </w:tcPr>
          <w:p w14:paraId="0A7B981D">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7E52DAB7">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固定资产管理</w:t>
            </w:r>
          </w:p>
        </w:tc>
        <w:tc>
          <w:tcPr>
            <w:tcW w:w="1522" w:type="dxa"/>
            <w:noWrap w:val="0"/>
            <w:vAlign w:val="center"/>
          </w:tcPr>
          <w:p w14:paraId="54EEC416">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建立制度：</w:t>
            </w:r>
          </w:p>
          <w:p w14:paraId="33EA52E8">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是</w:t>
            </w:r>
          </w:p>
          <w:p w14:paraId="73B13E43">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建立流程图：</w:t>
            </w:r>
          </w:p>
          <w:p w14:paraId="292E2E16">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continue"/>
            <w:noWrap w:val="0"/>
            <w:vAlign w:val="center"/>
          </w:tcPr>
          <w:p w14:paraId="1E7ECE6A">
            <w:pPr>
              <w:spacing w:line="320" w:lineRule="exact"/>
              <w:jc w:val="left"/>
              <w:rPr>
                <w:rFonts w:hint="eastAsia" w:eastAsia="楷体_GB2312" w:cs="楷体_GB2312"/>
                <w:color w:val="000000"/>
                <w:sz w:val="24"/>
                <w:lang w:val="en-US" w:eastAsia="zh-CN"/>
              </w:rPr>
            </w:pPr>
          </w:p>
        </w:tc>
        <w:tc>
          <w:tcPr>
            <w:tcW w:w="3742" w:type="dxa"/>
            <w:noWrap w:val="0"/>
            <w:vAlign w:val="center"/>
          </w:tcPr>
          <w:p w14:paraId="6CC5EA40">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单位固定资产类别与配置标准;单位固定资产使用管理;单位固定资产清查范围及程序;单位资产处置标准与审批权限</w:t>
            </w:r>
          </w:p>
        </w:tc>
      </w:tr>
      <w:tr w14:paraId="7367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6" w:hRule="atLeast"/>
          <w:jc w:val="center"/>
        </w:trPr>
        <w:tc>
          <w:tcPr>
            <w:tcW w:w="750" w:type="dxa"/>
            <w:vMerge w:val="continue"/>
            <w:noWrap/>
            <w:vAlign w:val="center"/>
          </w:tcPr>
          <w:p w14:paraId="52436156">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25DE0165">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无形资产管理</w:t>
            </w:r>
          </w:p>
        </w:tc>
        <w:tc>
          <w:tcPr>
            <w:tcW w:w="1522" w:type="dxa"/>
            <w:noWrap w:val="0"/>
            <w:vAlign w:val="center"/>
          </w:tcPr>
          <w:p w14:paraId="26738D4E">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建立制度：</w:t>
            </w:r>
          </w:p>
          <w:p w14:paraId="6A5392A6">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是</w:t>
            </w:r>
          </w:p>
          <w:p w14:paraId="02B23F81">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建立流程图：</w:t>
            </w:r>
          </w:p>
          <w:p w14:paraId="2AD747DA">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continue"/>
            <w:noWrap w:val="0"/>
            <w:vAlign w:val="center"/>
          </w:tcPr>
          <w:p w14:paraId="5CD9CDF2">
            <w:pPr>
              <w:spacing w:line="320" w:lineRule="exact"/>
              <w:jc w:val="left"/>
              <w:rPr>
                <w:rFonts w:hint="eastAsia" w:eastAsia="楷体_GB2312" w:cs="楷体_GB2312"/>
                <w:color w:val="000000"/>
                <w:sz w:val="24"/>
                <w:lang w:val="en-US" w:eastAsia="zh-CN"/>
              </w:rPr>
            </w:pPr>
          </w:p>
        </w:tc>
        <w:tc>
          <w:tcPr>
            <w:tcW w:w="3742" w:type="dxa"/>
            <w:noWrap w:val="0"/>
            <w:vAlign w:val="center"/>
          </w:tcPr>
          <w:p w14:paraId="6A5C13EA">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单位无形资产类别、登记确认、价值评估及处置</w:t>
            </w:r>
          </w:p>
        </w:tc>
      </w:tr>
      <w:tr w14:paraId="1DAC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5" w:hRule="atLeast"/>
          <w:jc w:val="center"/>
        </w:trPr>
        <w:tc>
          <w:tcPr>
            <w:tcW w:w="750" w:type="dxa"/>
            <w:vMerge w:val="continue"/>
            <w:noWrap/>
            <w:vAlign w:val="center"/>
          </w:tcPr>
          <w:p w14:paraId="1FDA1397">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71934628">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对外投资管理</w:t>
            </w:r>
          </w:p>
        </w:tc>
        <w:tc>
          <w:tcPr>
            <w:tcW w:w="1522" w:type="dxa"/>
            <w:noWrap w:val="0"/>
            <w:vAlign w:val="center"/>
          </w:tcPr>
          <w:p w14:paraId="1AA6CC02">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建立制度：</w:t>
            </w:r>
          </w:p>
          <w:p w14:paraId="3DA77F94">
            <w:pPr>
              <w:spacing w:line="320" w:lineRule="exact"/>
              <w:jc w:val="left"/>
              <w:rPr>
                <w:rFonts w:hint="default" w:eastAsia="楷体_GB2312" w:cs="楷体_GB2312"/>
                <w:color w:val="000000"/>
                <w:sz w:val="24"/>
                <w:lang w:val="en-US" w:eastAsia="zh-CN"/>
              </w:rPr>
            </w:pPr>
          </w:p>
          <w:p w14:paraId="11B4116D">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建立流程图：</w:t>
            </w:r>
          </w:p>
          <w:p w14:paraId="12629D4C">
            <w:pPr>
              <w:spacing w:line="320" w:lineRule="exact"/>
              <w:jc w:val="left"/>
              <w:rPr>
                <w:rFonts w:hint="eastAsia" w:eastAsia="楷体_GB2312" w:cs="楷体_GB2312"/>
                <w:color w:val="000000"/>
                <w:sz w:val="24"/>
                <w:lang w:val="en-US" w:eastAsia="zh-CN"/>
              </w:rPr>
            </w:pPr>
          </w:p>
        </w:tc>
        <w:tc>
          <w:tcPr>
            <w:tcW w:w="1282" w:type="dxa"/>
            <w:vMerge w:val="continue"/>
            <w:noWrap w:val="0"/>
            <w:vAlign w:val="center"/>
          </w:tcPr>
          <w:p w14:paraId="475AD831">
            <w:pPr>
              <w:spacing w:line="320" w:lineRule="exact"/>
              <w:jc w:val="left"/>
              <w:rPr>
                <w:rFonts w:hint="eastAsia" w:eastAsia="楷体_GB2312" w:cs="楷体_GB2312"/>
                <w:color w:val="000000"/>
                <w:sz w:val="24"/>
                <w:lang w:val="en-US" w:eastAsia="zh-CN"/>
              </w:rPr>
            </w:pPr>
          </w:p>
        </w:tc>
        <w:tc>
          <w:tcPr>
            <w:tcW w:w="3742" w:type="dxa"/>
            <w:noWrap w:val="0"/>
            <w:vAlign w:val="center"/>
          </w:tcPr>
          <w:p w14:paraId="615F8BFE">
            <w:pPr>
              <w:spacing w:line="320" w:lineRule="exact"/>
              <w:jc w:val="left"/>
              <w:rPr>
                <w:rFonts w:hint="eastAsia" w:eastAsia="楷体_GB2312" w:cs="楷体_GB2312"/>
                <w:color w:val="000000"/>
                <w:sz w:val="24"/>
                <w:lang w:val="en-US" w:eastAsia="zh-CN"/>
              </w:rPr>
            </w:pPr>
          </w:p>
        </w:tc>
      </w:tr>
      <w:tr w14:paraId="4BE0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jc w:val="center"/>
        </w:trPr>
        <w:tc>
          <w:tcPr>
            <w:tcW w:w="750" w:type="dxa"/>
            <w:vMerge w:val="restart"/>
            <w:noWrap/>
            <w:vAlign w:val="center"/>
          </w:tcPr>
          <w:p w14:paraId="69708601">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建设项目管理</w:t>
            </w:r>
          </w:p>
        </w:tc>
        <w:tc>
          <w:tcPr>
            <w:tcW w:w="1275" w:type="dxa"/>
            <w:noWrap w:val="0"/>
            <w:vAlign w:val="center"/>
          </w:tcPr>
          <w:p w14:paraId="7144A612">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项目立项、设计与概预算</w:t>
            </w:r>
          </w:p>
        </w:tc>
        <w:tc>
          <w:tcPr>
            <w:tcW w:w="1522" w:type="dxa"/>
            <w:noWrap w:val="0"/>
            <w:vAlign w:val="center"/>
          </w:tcPr>
          <w:p w14:paraId="782A9C8C">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建立制度：</w:t>
            </w:r>
          </w:p>
          <w:p w14:paraId="51CA8CB4">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是</w:t>
            </w:r>
          </w:p>
          <w:p w14:paraId="0C10E431">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建立流程图：</w:t>
            </w:r>
          </w:p>
          <w:p w14:paraId="2D34B293">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restart"/>
            <w:noWrap w:val="0"/>
            <w:vAlign w:val="center"/>
          </w:tcPr>
          <w:p w14:paraId="27E5B4E2">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更新</w:t>
            </w:r>
            <w:r>
              <w:rPr>
                <w:rFonts w:hint="default" w:eastAsia="楷体_GB2312" w:cs="楷体_GB2312"/>
                <w:color w:val="000000"/>
                <w:sz w:val="24"/>
                <w:lang w:val="en-US" w:eastAsia="zh-CN"/>
              </w:rPr>
              <w:t>制度：</w:t>
            </w:r>
          </w:p>
          <w:p w14:paraId="7512E6A3">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否</w:t>
            </w:r>
          </w:p>
          <w:p w14:paraId="365DB201">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更新</w:t>
            </w:r>
            <w:r>
              <w:rPr>
                <w:rFonts w:hint="default" w:eastAsia="楷体_GB2312" w:cs="楷体_GB2312"/>
                <w:color w:val="000000"/>
                <w:sz w:val="24"/>
                <w:lang w:val="en-US" w:eastAsia="zh-CN"/>
              </w:rPr>
              <w:t>流程图：</w:t>
            </w:r>
          </w:p>
          <w:p w14:paraId="12992285">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否</w:t>
            </w:r>
          </w:p>
        </w:tc>
        <w:tc>
          <w:tcPr>
            <w:tcW w:w="3742" w:type="dxa"/>
            <w:noWrap w:val="0"/>
            <w:vAlign w:val="center"/>
          </w:tcPr>
          <w:p w14:paraId="7FC3B250">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单位项目投资评审、立项依据与审批程序</w:t>
            </w:r>
          </w:p>
        </w:tc>
      </w:tr>
      <w:tr w14:paraId="0C1A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5" w:hRule="atLeast"/>
          <w:jc w:val="center"/>
        </w:trPr>
        <w:tc>
          <w:tcPr>
            <w:tcW w:w="750" w:type="dxa"/>
            <w:vMerge w:val="continue"/>
            <w:noWrap/>
            <w:vAlign w:val="center"/>
          </w:tcPr>
          <w:p w14:paraId="7D5F4A5A">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7D678891">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项目采购管理</w:t>
            </w:r>
          </w:p>
        </w:tc>
        <w:tc>
          <w:tcPr>
            <w:tcW w:w="1522" w:type="dxa"/>
            <w:noWrap w:val="0"/>
            <w:vAlign w:val="center"/>
          </w:tcPr>
          <w:p w14:paraId="3C90EF03">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建立制度：</w:t>
            </w:r>
          </w:p>
          <w:p w14:paraId="660CB5EC">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是</w:t>
            </w:r>
          </w:p>
          <w:p w14:paraId="51316DA9">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建立流程图：</w:t>
            </w:r>
          </w:p>
          <w:p w14:paraId="55EE5DF1">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continue"/>
            <w:noWrap w:val="0"/>
            <w:vAlign w:val="center"/>
          </w:tcPr>
          <w:p w14:paraId="1313657B">
            <w:pPr>
              <w:spacing w:line="320" w:lineRule="exact"/>
              <w:jc w:val="left"/>
              <w:rPr>
                <w:rFonts w:hint="eastAsia" w:eastAsia="楷体_GB2312" w:cs="楷体_GB2312"/>
                <w:color w:val="000000"/>
                <w:sz w:val="24"/>
                <w:lang w:val="en-US" w:eastAsia="zh-CN"/>
              </w:rPr>
            </w:pPr>
          </w:p>
        </w:tc>
        <w:tc>
          <w:tcPr>
            <w:tcW w:w="3742" w:type="dxa"/>
            <w:noWrap w:val="0"/>
            <w:vAlign w:val="center"/>
          </w:tcPr>
          <w:p w14:paraId="74524964">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单位项目采购范围、方式及程序</w:t>
            </w:r>
          </w:p>
        </w:tc>
      </w:tr>
      <w:tr w14:paraId="3B69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1" w:hRule="atLeast"/>
          <w:jc w:val="center"/>
        </w:trPr>
        <w:tc>
          <w:tcPr>
            <w:tcW w:w="750" w:type="dxa"/>
            <w:vMerge w:val="continue"/>
            <w:noWrap/>
            <w:vAlign w:val="center"/>
          </w:tcPr>
          <w:p w14:paraId="16D4927A">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54F4CCD4">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项目施工、变更与资金支付</w:t>
            </w:r>
          </w:p>
        </w:tc>
        <w:tc>
          <w:tcPr>
            <w:tcW w:w="1522" w:type="dxa"/>
            <w:noWrap w:val="0"/>
            <w:vAlign w:val="center"/>
          </w:tcPr>
          <w:p w14:paraId="6693DCB2">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建立制度：</w:t>
            </w:r>
          </w:p>
          <w:p w14:paraId="5BAC82FF">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是</w:t>
            </w:r>
          </w:p>
          <w:p w14:paraId="1F3B46EE">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建立流程图：</w:t>
            </w:r>
          </w:p>
          <w:p w14:paraId="450102D6">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continue"/>
            <w:noWrap w:val="0"/>
            <w:vAlign w:val="center"/>
          </w:tcPr>
          <w:p w14:paraId="744BF6C4">
            <w:pPr>
              <w:spacing w:line="320" w:lineRule="exact"/>
              <w:jc w:val="left"/>
              <w:rPr>
                <w:rFonts w:hint="eastAsia" w:eastAsia="楷体_GB2312" w:cs="楷体_GB2312"/>
                <w:color w:val="000000"/>
                <w:sz w:val="24"/>
                <w:lang w:val="en-US" w:eastAsia="zh-CN"/>
              </w:rPr>
            </w:pPr>
          </w:p>
        </w:tc>
        <w:tc>
          <w:tcPr>
            <w:tcW w:w="3742" w:type="dxa"/>
            <w:noWrap w:val="0"/>
            <w:vAlign w:val="center"/>
          </w:tcPr>
          <w:p w14:paraId="25054A77">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单位项目分包控制;单位项目变更审批权限及程序;单位项目进度款、竣工决（结）算审核程序</w:t>
            </w:r>
          </w:p>
        </w:tc>
      </w:tr>
      <w:tr w14:paraId="3157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9" w:hRule="atLeast"/>
          <w:jc w:val="center"/>
        </w:trPr>
        <w:tc>
          <w:tcPr>
            <w:tcW w:w="750" w:type="dxa"/>
            <w:vMerge w:val="continue"/>
            <w:noWrap/>
            <w:vAlign w:val="center"/>
          </w:tcPr>
          <w:p w14:paraId="2BCBE1E8">
            <w:pPr>
              <w:keepNext w:val="0"/>
              <w:keepLines w:val="0"/>
              <w:widowControl/>
              <w:suppressLineNumbers w:val="0"/>
              <w:spacing w:before="0" w:beforeAutospacing="0" w:after="0" w:afterAutospacing="0"/>
              <w:ind w:left="0" w:right="0"/>
              <w:rPr>
                <w:rFonts w:hint="default"/>
                <w:sz w:val="24"/>
              </w:rPr>
            </w:pPr>
          </w:p>
        </w:tc>
        <w:tc>
          <w:tcPr>
            <w:tcW w:w="1275" w:type="dxa"/>
            <w:noWrap w:val="0"/>
            <w:vAlign w:val="center"/>
          </w:tcPr>
          <w:p w14:paraId="098ED11E">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项目验收管理与绩效评价</w:t>
            </w:r>
          </w:p>
        </w:tc>
        <w:tc>
          <w:tcPr>
            <w:tcW w:w="1522" w:type="dxa"/>
            <w:noWrap w:val="0"/>
            <w:vAlign w:val="center"/>
          </w:tcPr>
          <w:p w14:paraId="4D9CD99A">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建立制度：</w:t>
            </w:r>
          </w:p>
          <w:p w14:paraId="50BB546B">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是</w:t>
            </w:r>
          </w:p>
          <w:p w14:paraId="770B3389">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建立流程图：</w:t>
            </w:r>
          </w:p>
          <w:p w14:paraId="768B1343">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continue"/>
            <w:noWrap w:val="0"/>
            <w:vAlign w:val="center"/>
          </w:tcPr>
          <w:p w14:paraId="12023D5D">
            <w:pPr>
              <w:spacing w:line="320" w:lineRule="exact"/>
              <w:jc w:val="left"/>
              <w:rPr>
                <w:rFonts w:hint="eastAsia" w:eastAsia="楷体_GB2312" w:cs="楷体_GB2312"/>
                <w:color w:val="000000"/>
                <w:sz w:val="24"/>
                <w:lang w:val="en-US" w:eastAsia="zh-CN"/>
              </w:rPr>
            </w:pPr>
          </w:p>
        </w:tc>
        <w:tc>
          <w:tcPr>
            <w:tcW w:w="3742" w:type="dxa"/>
            <w:noWrap w:val="0"/>
            <w:vAlign w:val="center"/>
          </w:tcPr>
          <w:p w14:paraId="509325E5">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单位项目验收主体、内容及程序;单位项目档案管理;单位项目绩效评价形式与内容</w:t>
            </w:r>
          </w:p>
        </w:tc>
      </w:tr>
      <w:tr w14:paraId="3C7F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7" w:hRule="atLeast"/>
          <w:jc w:val="center"/>
        </w:trPr>
        <w:tc>
          <w:tcPr>
            <w:tcW w:w="750" w:type="dxa"/>
            <w:shd w:val="clear" w:color="auto" w:fill="auto"/>
            <w:noWrap/>
            <w:vAlign w:val="center"/>
          </w:tcPr>
          <w:p w14:paraId="65E4268E">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仿宋_GB2312" w:cs="仿宋_GB2312"/>
                <w:color w:val="000000"/>
                <w:spacing w:val="-12"/>
                <w:kern w:val="2"/>
                <w:sz w:val="24"/>
                <w:szCs w:val="24"/>
                <w:lang w:val="en-US" w:eastAsia="zh-CN" w:bidi="ar-SA"/>
              </w:rPr>
            </w:pPr>
            <w:r>
              <w:rPr>
                <w:rFonts w:hint="eastAsia" w:eastAsia="仿宋_GB2312" w:cs="仿宋_GB2312"/>
                <w:color w:val="000000"/>
                <w:spacing w:val="-12"/>
                <w:sz w:val="24"/>
              </w:rPr>
              <w:t>业务类型</w:t>
            </w:r>
          </w:p>
        </w:tc>
        <w:tc>
          <w:tcPr>
            <w:tcW w:w="1275" w:type="dxa"/>
            <w:shd w:val="clear" w:color="auto" w:fill="auto"/>
            <w:noWrap w:val="0"/>
            <w:vAlign w:val="center"/>
          </w:tcPr>
          <w:p w14:paraId="1F8C973C">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环节</w:t>
            </w:r>
          </w:p>
          <w:p w14:paraId="64B20CA2">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eastAsia="仿宋_GB2312" w:cs="仿宋_GB2312"/>
                <w:color w:val="000000"/>
                <w:spacing w:val="-12"/>
                <w:kern w:val="2"/>
                <w:sz w:val="24"/>
                <w:szCs w:val="24"/>
                <w:lang w:val="en-US" w:eastAsia="zh-CN" w:bidi="ar-SA"/>
              </w:rPr>
            </w:pPr>
            <w:r>
              <w:rPr>
                <w:rFonts w:hint="eastAsia" w:eastAsia="仿宋_GB2312" w:cs="仿宋_GB2312"/>
                <w:color w:val="000000"/>
                <w:spacing w:val="-12"/>
                <w:sz w:val="24"/>
              </w:rPr>
              <w:t>（类别）</w:t>
            </w:r>
          </w:p>
        </w:tc>
        <w:tc>
          <w:tcPr>
            <w:tcW w:w="1522" w:type="dxa"/>
            <w:shd w:val="clear" w:color="auto" w:fill="auto"/>
            <w:noWrap w:val="0"/>
            <w:vAlign w:val="center"/>
          </w:tcPr>
          <w:p w14:paraId="07CC7F73">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eastAsia="仿宋_GB2312" w:cs="仿宋_GB2312"/>
                <w:color w:val="000000"/>
                <w:spacing w:val="-12"/>
                <w:kern w:val="2"/>
                <w:sz w:val="24"/>
                <w:szCs w:val="24"/>
                <w:lang w:val="en-US" w:eastAsia="zh-CN" w:bidi="ar-SA"/>
              </w:rPr>
            </w:pPr>
            <w:r>
              <w:rPr>
                <w:rFonts w:hint="eastAsia" w:eastAsia="仿宋_GB2312" w:cs="仿宋_GB2312"/>
                <w:color w:val="000000"/>
                <w:spacing w:val="-12"/>
                <w:sz w:val="24"/>
              </w:rPr>
              <w:t>是否已建立制度和流程图</w:t>
            </w:r>
          </w:p>
        </w:tc>
        <w:tc>
          <w:tcPr>
            <w:tcW w:w="1282" w:type="dxa"/>
            <w:shd w:val="clear" w:color="auto" w:fill="auto"/>
            <w:noWrap w:val="0"/>
            <w:vAlign w:val="center"/>
          </w:tcPr>
          <w:p w14:paraId="40854CFD">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eastAsia="仿宋_GB2312" w:cs="仿宋_GB2312"/>
                <w:color w:val="000000"/>
                <w:spacing w:val="-12"/>
                <w:kern w:val="2"/>
                <w:sz w:val="24"/>
                <w:szCs w:val="24"/>
                <w:lang w:val="en-US" w:eastAsia="zh-CN" w:bidi="ar-SA"/>
              </w:rPr>
            </w:pPr>
            <w:r>
              <w:rPr>
                <w:rFonts w:hint="eastAsia" w:eastAsia="仿宋_GB2312" w:cs="仿宋_GB2312"/>
                <w:color w:val="000000"/>
                <w:spacing w:val="-12"/>
                <w:sz w:val="24"/>
                <w:lang w:eastAsia="zh-CN"/>
              </w:rPr>
              <w:t>2024</w:t>
            </w:r>
            <w:r>
              <w:rPr>
                <w:rFonts w:hint="eastAsia" w:eastAsia="仿宋_GB2312" w:cs="仿宋_GB2312"/>
                <w:color w:val="000000"/>
                <w:spacing w:val="-12"/>
                <w:sz w:val="24"/>
              </w:rPr>
              <w:t>年度是否更新</w:t>
            </w:r>
          </w:p>
        </w:tc>
        <w:tc>
          <w:tcPr>
            <w:tcW w:w="3742" w:type="dxa"/>
            <w:shd w:val="clear" w:color="auto" w:fill="auto"/>
            <w:noWrap w:val="0"/>
            <w:vAlign w:val="center"/>
          </w:tcPr>
          <w:p w14:paraId="4DE499A7">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eastAsia="仿宋_GB2312" w:cs="仿宋_GB2312"/>
                <w:color w:val="000000"/>
                <w:spacing w:val="-12"/>
                <w:kern w:val="2"/>
                <w:sz w:val="24"/>
                <w:szCs w:val="24"/>
                <w:lang w:val="en-US" w:eastAsia="zh-CN" w:bidi="ar-SA"/>
              </w:rPr>
            </w:pPr>
            <w:r>
              <w:rPr>
                <w:rFonts w:hint="eastAsia" w:eastAsia="仿宋_GB2312" w:cs="仿宋_GB2312"/>
                <w:color w:val="000000"/>
                <w:spacing w:val="-12"/>
                <w:sz w:val="24"/>
              </w:rPr>
              <w:t>内控制度覆盖关键管控点情况</w:t>
            </w:r>
          </w:p>
        </w:tc>
      </w:tr>
      <w:tr w14:paraId="1A8E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8" w:hRule="atLeast"/>
          <w:jc w:val="center"/>
        </w:trPr>
        <w:tc>
          <w:tcPr>
            <w:tcW w:w="750" w:type="dxa"/>
            <w:vMerge w:val="restart"/>
            <w:noWrap/>
            <w:vAlign w:val="center"/>
          </w:tcPr>
          <w:p w14:paraId="4FA462CE">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合同管理</w:t>
            </w:r>
          </w:p>
        </w:tc>
        <w:tc>
          <w:tcPr>
            <w:tcW w:w="1275" w:type="dxa"/>
            <w:noWrap w:val="0"/>
            <w:vAlign w:val="center"/>
          </w:tcPr>
          <w:p w14:paraId="4A863544">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合同拟订与审批</w:t>
            </w:r>
          </w:p>
        </w:tc>
        <w:tc>
          <w:tcPr>
            <w:tcW w:w="1522" w:type="dxa"/>
            <w:noWrap w:val="0"/>
            <w:vAlign w:val="center"/>
          </w:tcPr>
          <w:p w14:paraId="00E1C21C">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建立制度：</w:t>
            </w:r>
          </w:p>
          <w:p w14:paraId="292C9647">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是</w:t>
            </w:r>
          </w:p>
          <w:p w14:paraId="439CC29B">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建立流程图：</w:t>
            </w:r>
          </w:p>
          <w:p w14:paraId="334C07D6">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restart"/>
            <w:noWrap w:val="0"/>
            <w:vAlign w:val="center"/>
          </w:tcPr>
          <w:p w14:paraId="12C6A45A">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更新</w:t>
            </w:r>
            <w:r>
              <w:rPr>
                <w:rFonts w:hint="default" w:eastAsia="楷体_GB2312" w:cs="楷体_GB2312"/>
                <w:color w:val="000000"/>
                <w:sz w:val="24"/>
                <w:lang w:val="en-US" w:eastAsia="zh-CN"/>
              </w:rPr>
              <w:t>制度：</w:t>
            </w:r>
          </w:p>
          <w:p w14:paraId="438C72B0">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否</w:t>
            </w:r>
          </w:p>
          <w:p w14:paraId="4D8080BE">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更新</w:t>
            </w:r>
            <w:r>
              <w:rPr>
                <w:rFonts w:hint="default" w:eastAsia="楷体_GB2312" w:cs="楷体_GB2312"/>
                <w:color w:val="000000"/>
                <w:sz w:val="24"/>
                <w:lang w:val="en-US" w:eastAsia="zh-CN"/>
              </w:rPr>
              <w:t>流程图：</w:t>
            </w:r>
          </w:p>
          <w:p w14:paraId="77D307CB">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否</w:t>
            </w:r>
          </w:p>
        </w:tc>
        <w:tc>
          <w:tcPr>
            <w:tcW w:w="3742" w:type="dxa"/>
            <w:noWrap w:val="0"/>
            <w:vAlign w:val="center"/>
          </w:tcPr>
          <w:p w14:paraId="4C1E1AD5">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单位合同签署权限及授权机制;单位合同审核主体、内容及程序;单位法务或外聘法律顾问介入条件与环节;单位合同用印程序</w:t>
            </w:r>
          </w:p>
        </w:tc>
      </w:tr>
      <w:tr w14:paraId="355E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750" w:type="dxa"/>
            <w:vMerge w:val="continue"/>
            <w:noWrap/>
            <w:vAlign w:val="center"/>
          </w:tcPr>
          <w:p w14:paraId="58271AEB">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5BEA0C95">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合同履行与监督</w:t>
            </w:r>
          </w:p>
        </w:tc>
        <w:tc>
          <w:tcPr>
            <w:tcW w:w="1522" w:type="dxa"/>
            <w:noWrap w:val="0"/>
            <w:vAlign w:val="center"/>
          </w:tcPr>
          <w:p w14:paraId="03D98DB8">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建立制度：</w:t>
            </w:r>
          </w:p>
          <w:p w14:paraId="4CF91081">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是</w:t>
            </w:r>
          </w:p>
          <w:p w14:paraId="7186F937">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建立流程图：</w:t>
            </w:r>
          </w:p>
          <w:p w14:paraId="000AF74D">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continue"/>
            <w:noWrap w:val="0"/>
            <w:vAlign w:val="center"/>
          </w:tcPr>
          <w:p w14:paraId="3143E49F">
            <w:pPr>
              <w:spacing w:line="320" w:lineRule="exact"/>
              <w:jc w:val="left"/>
              <w:rPr>
                <w:rFonts w:hint="eastAsia" w:eastAsia="楷体_GB2312" w:cs="楷体_GB2312"/>
                <w:color w:val="000000"/>
                <w:sz w:val="24"/>
                <w:lang w:val="en-US" w:eastAsia="zh-CN"/>
              </w:rPr>
            </w:pPr>
          </w:p>
        </w:tc>
        <w:tc>
          <w:tcPr>
            <w:tcW w:w="3742" w:type="dxa"/>
            <w:noWrap w:val="0"/>
            <w:vAlign w:val="center"/>
          </w:tcPr>
          <w:p w14:paraId="2CCDB876">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单位合同台账设置及管理要求;单位合同执行监督机制;单位合同变更、转让或解除机制</w:t>
            </w:r>
          </w:p>
        </w:tc>
      </w:tr>
      <w:tr w14:paraId="6FC9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750" w:type="dxa"/>
            <w:vMerge w:val="continue"/>
            <w:noWrap/>
            <w:vAlign w:val="center"/>
          </w:tcPr>
          <w:p w14:paraId="4A16E5D9">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p>
        </w:tc>
        <w:tc>
          <w:tcPr>
            <w:tcW w:w="1275" w:type="dxa"/>
            <w:noWrap w:val="0"/>
            <w:vAlign w:val="center"/>
          </w:tcPr>
          <w:p w14:paraId="5A33C1CC">
            <w:pPr>
              <w:keepNext w:val="0"/>
              <w:keepLines w:val="0"/>
              <w:suppressLineNumbers w:val="0"/>
              <w:spacing w:before="0" w:beforeAutospacing="0" w:after="0" w:afterAutospacing="0" w:line="320" w:lineRule="exact"/>
              <w:ind w:left="0" w:right="0"/>
              <w:jc w:val="center"/>
              <w:rPr>
                <w:rFonts w:hint="eastAsia" w:eastAsia="仿宋_GB2312" w:cs="仿宋_GB2312"/>
                <w:color w:val="000000"/>
                <w:spacing w:val="-12"/>
                <w:sz w:val="24"/>
              </w:rPr>
            </w:pPr>
            <w:r>
              <w:rPr>
                <w:rFonts w:hint="eastAsia" w:eastAsia="仿宋_GB2312" w:cs="仿宋_GB2312"/>
                <w:color w:val="000000"/>
                <w:spacing w:val="-12"/>
                <w:sz w:val="24"/>
              </w:rPr>
              <w:t>合同档案与纠纷管理</w:t>
            </w:r>
          </w:p>
        </w:tc>
        <w:tc>
          <w:tcPr>
            <w:tcW w:w="1522" w:type="dxa"/>
            <w:noWrap w:val="0"/>
            <w:vAlign w:val="center"/>
          </w:tcPr>
          <w:p w14:paraId="5859CA35">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建立制度：</w:t>
            </w:r>
          </w:p>
          <w:p w14:paraId="056502BA">
            <w:pPr>
              <w:spacing w:line="320" w:lineRule="exact"/>
              <w:jc w:val="left"/>
              <w:rPr>
                <w:rFonts w:hint="default" w:eastAsia="楷体_GB2312" w:cs="楷体_GB2312"/>
                <w:color w:val="000000"/>
                <w:sz w:val="24"/>
                <w:lang w:val="en-US" w:eastAsia="zh-CN"/>
              </w:rPr>
            </w:pPr>
            <w:r>
              <w:rPr>
                <w:rFonts w:hint="eastAsia" w:eastAsia="楷体_GB2312" w:cs="楷体_GB2312"/>
                <w:color w:val="000000"/>
                <w:sz w:val="24"/>
                <w:lang w:val="en-US" w:eastAsia="zh-CN"/>
              </w:rPr>
              <w:t>是</w:t>
            </w:r>
          </w:p>
          <w:p w14:paraId="6563EE63">
            <w:pPr>
              <w:spacing w:line="320" w:lineRule="exact"/>
              <w:jc w:val="left"/>
              <w:rPr>
                <w:rFonts w:hint="default" w:eastAsia="楷体_GB2312" w:cs="楷体_GB2312"/>
                <w:color w:val="000000"/>
                <w:sz w:val="24"/>
                <w:lang w:val="en-US" w:eastAsia="zh-CN"/>
              </w:rPr>
            </w:pPr>
            <w:r>
              <w:rPr>
                <w:rFonts w:hint="default" w:eastAsia="楷体_GB2312" w:cs="楷体_GB2312"/>
                <w:color w:val="000000"/>
                <w:sz w:val="24"/>
                <w:lang w:val="en-US" w:eastAsia="zh-CN"/>
              </w:rPr>
              <w:t>建立流程图：</w:t>
            </w:r>
          </w:p>
          <w:p w14:paraId="36456901">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是</w:t>
            </w:r>
          </w:p>
        </w:tc>
        <w:tc>
          <w:tcPr>
            <w:tcW w:w="1282" w:type="dxa"/>
            <w:vMerge w:val="continue"/>
            <w:noWrap w:val="0"/>
            <w:vAlign w:val="center"/>
          </w:tcPr>
          <w:p w14:paraId="36EE7AB7">
            <w:pPr>
              <w:spacing w:line="320" w:lineRule="exact"/>
              <w:jc w:val="left"/>
              <w:rPr>
                <w:rFonts w:hint="eastAsia" w:eastAsia="楷体_GB2312" w:cs="楷体_GB2312"/>
                <w:color w:val="000000"/>
                <w:sz w:val="24"/>
                <w:lang w:val="en-US" w:eastAsia="zh-CN"/>
              </w:rPr>
            </w:pPr>
          </w:p>
        </w:tc>
        <w:tc>
          <w:tcPr>
            <w:tcW w:w="3742" w:type="dxa"/>
            <w:noWrap w:val="0"/>
            <w:vAlign w:val="center"/>
          </w:tcPr>
          <w:p w14:paraId="484B4033">
            <w:pPr>
              <w:spacing w:line="320" w:lineRule="exact"/>
              <w:jc w:val="left"/>
              <w:rPr>
                <w:rFonts w:hint="eastAsia" w:eastAsia="楷体_GB2312" w:cs="楷体_GB2312"/>
                <w:color w:val="000000"/>
                <w:sz w:val="24"/>
                <w:lang w:val="en-US" w:eastAsia="zh-CN"/>
              </w:rPr>
            </w:pPr>
            <w:r>
              <w:rPr>
                <w:rFonts w:hint="eastAsia" w:eastAsia="楷体_GB2312" w:cs="楷体_GB2312"/>
                <w:color w:val="000000"/>
                <w:sz w:val="24"/>
                <w:lang w:val="en-US" w:eastAsia="zh-CN"/>
              </w:rPr>
              <w:t>单位合同执行归档制度;单位合同纠纷处理程序</w:t>
            </w:r>
          </w:p>
        </w:tc>
      </w:tr>
    </w:tbl>
    <w:p w14:paraId="227A36A2">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说明：是否已建立制度和流程图根据单位内部控制制度和流程图建立情况勾选。截至</w:t>
      </w:r>
      <w:r>
        <w:rPr>
          <w:rFonts w:hint="eastAsia" w:eastAsia="楷体_GB2312" w:cs="楷体_GB2312"/>
          <w:color w:val="000000"/>
          <w:sz w:val="24"/>
          <w:lang w:eastAsia="zh-CN"/>
        </w:rPr>
        <w:t>2024</w:t>
      </w:r>
      <w:r>
        <w:rPr>
          <w:rFonts w:hint="eastAsia" w:eastAsia="楷体_GB2312" w:cs="楷体_GB2312"/>
          <w:color w:val="000000"/>
          <w:sz w:val="24"/>
        </w:rPr>
        <w:t>年底单位已经建立对应业务环节（类别）的制度或流程图，勾选“是”；若单位尚未建立对应业务环节（类别）的制度或流程图，勾选“否”。</w:t>
      </w:r>
    </w:p>
    <w:p w14:paraId="345DC7C3">
      <w:pPr>
        <w:pStyle w:val="28"/>
        <w:tabs>
          <w:tab w:val="left" w:pos="851"/>
        </w:tabs>
        <w:spacing w:line="360" w:lineRule="auto"/>
        <w:ind w:firstLine="480"/>
        <w:rPr>
          <w:rFonts w:eastAsia="楷体_GB2312" w:cs="楷体_GB2312"/>
          <w:color w:val="000000"/>
          <w:sz w:val="24"/>
        </w:rPr>
      </w:pPr>
      <w:r>
        <w:rPr>
          <w:rFonts w:hint="eastAsia" w:eastAsia="楷体_GB2312" w:cs="楷体_GB2312"/>
          <w:color w:val="000000"/>
          <w:sz w:val="24"/>
          <w:lang w:eastAsia="zh-CN"/>
        </w:rPr>
        <w:t>2024</w:t>
      </w:r>
      <w:r>
        <w:rPr>
          <w:rFonts w:hint="eastAsia" w:eastAsia="楷体_GB2312" w:cs="楷体_GB2312"/>
          <w:color w:val="000000"/>
          <w:sz w:val="24"/>
        </w:rPr>
        <w:t>年度是否更新根据单位</w:t>
      </w:r>
      <w:r>
        <w:rPr>
          <w:rFonts w:hint="eastAsia" w:eastAsia="楷体_GB2312" w:cs="楷体_GB2312"/>
          <w:color w:val="000000"/>
          <w:sz w:val="24"/>
          <w:lang w:eastAsia="zh-CN"/>
        </w:rPr>
        <w:t>2024</w:t>
      </w:r>
      <w:r>
        <w:rPr>
          <w:rFonts w:hint="eastAsia" w:eastAsia="楷体_GB2312" w:cs="楷体_GB2312"/>
          <w:color w:val="000000"/>
          <w:sz w:val="24"/>
        </w:rPr>
        <w:t>年度内部控制制度和流程图更新情况勾选。若单位在以前年度已经建立对应业务的制度或流程图且</w:t>
      </w:r>
      <w:r>
        <w:rPr>
          <w:rFonts w:hint="eastAsia" w:eastAsia="楷体_GB2312" w:cs="楷体_GB2312"/>
          <w:color w:val="000000"/>
          <w:sz w:val="24"/>
          <w:lang w:eastAsia="zh-CN"/>
        </w:rPr>
        <w:t>2024</w:t>
      </w:r>
      <w:r>
        <w:rPr>
          <w:rFonts w:hint="eastAsia" w:eastAsia="楷体_GB2312" w:cs="楷体_GB2312"/>
          <w:color w:val="000000"/>
          <w:sz w:val="24"/>
        </w:rPr>
        <w:t>年度进行过更新，或者单位</w:t>
      </w:r>
      <w:r>
        <w:rPr>
          <w:rFonts w:hint="eastAsia" w:eastAsia="楷体_GB2312" w:cs="楷体_GB2312"/>
          <w:color w:val="000000"/>
          <w:sz w:val="24"/>
          <w:lang w:eastAsia="zh-CN"/>
        </w:rPr>
        <w:t>2024</w:t>
      </w:r>
      <w:r>
        <w:rPr>
          <w:rFonts w:hint="eastAsia" w:eastAsia="楷体_GB2312" w:cs="楷体_GB2312"/>
          <w:color w:val="000000"/>
          <w:sz w:val="24"/>
        </w:rPr>
        <w:t>年度首次建立对应制度或流程图，勾选“是”，否则勾选“否”。</w:t>
      </w:r>
    </w:p>
    <w:p w14:paraId="3AED2A28">
      <w:pPr>
        <w:pStyle w:val="28"/>
        <w:tabs>
          <w:tab w:val="left" w:pos="851"/>
        </w:tabs>
        <w:spacing w:line="360" w:lineRule="auto"/>
        <w:ind w:firstLine="480"/>
        <w:rPr>
          <w:rFonts w:eastAsia="仿宋_GB2312" w:cs="仿宋_GB2312"/>
          <w:color w:val="000000"/>
          <w:spacing w:val="-12"/>
          <w:sz w:val="28"/>
          <w:szCs w:val="28"/>
        </w:rPr>
      </w:pPr>
      <w:r>
        <w:rPr>
          <w:rFonts w:hint="eastAsia" w:eastAsia="楷体_GB2312" w:cs="楷体_GB2312"/>
          <w:color w:val="000000"/>
          <w:sz w:val="24"/>
        </w:rPr>
        <w:t>需上传相应业务的内部控制制度和流程图作为佐证材料。</w:t>
      </w:r>
    </w:p>
    <w:p w14:paraId="0FD1A33D">
      <w:pPr>
        <w:widowControl/>
        <w:tabs>
          <w:tab w:val="left" w:pos="851"/>
        </w:tabs>
        <w:spacing w:line="360" w:lineRule="auto"/>
        <w:rPr>
          <w:rFonts w:eastAsia="仿宋_GB2312" w:cs="仿宋_GB2312"/>
          <w:color w:val="000000"/>
          <w:spacing w:val="-12"/>
          <w:sz w:val="28"/>
          <w:szCs w:val="28"/>
        </w:rPr>
      </w:pPr>
      <w:r>
        <w:rPr>
          <w:rFonts w:hint="eastAsia" w:eastAsia="仿宋_GB2312" w:cs="仿宋_GB2312"/>
          <w:color w:val="000000"/>
          <w:spacing w:val="-12"/>
          <w:sz w:val="28"/>
          <w:szCs w:val="28"/>
        </w:rPr>
        <w:t>（六）内部控制制度执行情况</w:t>
      </w:r>
    </w:p>
    <w:tbl>
      <w:tblPr>
        <w:tblStyle w:val="11"/>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843"/>
        <w:gridCol w:w="5572"/>
      </w:tblGrid>
      <w:tr w14:paraId="61D5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2843" w:type="dxa"/>
            <w:tcBorders>
              <w:left w:val="single" w:color="auto" w:sz="4" w:space="0"/>
              <w:bottom w:val="single" w:color="auto" w:sz="4" w:space="0"/>
              <w:right w:val="single" w:color="auto" w:sz="4" w:space="0"/>
            </w:tcBorders>
            <w:noWrap/>
            <w:vAlign w:val="center"/>
          </w:tcPr>
          <w:p w14:paraId="76A57B19">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预算绩效管理情况</w:t>
            </w:r>
          </w:p>
        </w:tc>
        <w:tc>
          <w:tcPr>
            <w:tcW w:w="5572" w:type="dxa"/>
            <w:tcBorders>
              <w:left w:val="single" w:color="auto" w:sz="4" w:space="0"/>
              <w:bottom w:val="single" w:color="auto" w:sz="4" w:space="0"/>
              <w:right w:val="single" w:color="auto" w:sz="4" w:space="0"/>
            </w:tcBorders>
            <w:vAlign w:val="center"/>
          </w:tcPr>
          <w:p w14:paraId="312F57C2">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2024</w:t>
            </w:r>
            <w:r>
              <w:rPr>
                <w:rFonts w:hint="eastAsia" w:eastAsia="楷体_GB2312" w:cs="楷体_GB2312"/>
                <w:color w:val="000000"/>
                <w:sz w:val="24"/>
              </w:rPr>
              <w:t>年度项目总数：</w:t>
            </w:r>
            <w:r>
              <w:rPr>
                <w:rFonts w:hint="eastAsia" w:eastAsia="楷体_GB2312" w:cs="楷体_GB2312"/>
                <w:color w:val="000000"/>
                <w:sz w:val="24"/>
                <w:lang w:eastAsia="zh-CN"/>
              </w:rPr>
              <w:t>0</w:t>
            </w:r>
          </w:p>
          <w:p w14:paraId="46FCD10A">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2024</w:t>
            </w:r>
            <w:r>
              <w:rPr>
                <w:rFonts w:hint="eastAsia" w:eastAsia="楷体_GB2312" w:cs="楷体_GB2312"/>
                <w:color w:val="000000"/>
                <w:sz w:val="24"/>
              </w:rPr>
              <w:t>年度新增重大项目数量：</w:t>
            </w:r>
            <w:r>
              <w:rPr>
                <w:rFonts w:hint="eastAsia" w:eastAsia="楷体_GB2312" w:cs="楷体_GB2312"/>
                <w:color w:val="000000"/>
                <w:sz w:val="24"/>
                <w:lang w:eastAsia="zh-CN"/>
              </w:rPr>
              <w:t>0</w:t>
            </w:r>
          </w:p>
          <w:p w14:paraId="401E12EA">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2024</w:t>
            </w:r>
            <w:r>
              <w:rPr>
                <w:rFonts w:hint="eastAsia" w:eastAsia="楷体_GB2312" w:cs="楷体_GB2312"/>
                <w:color w:val="000000"/>
                <w:sz w:val="24"/>
              </w:rPr>
              <w:t>年度已开展事前绩效评估的新增重大项目数量：</w:t>
            </w:r>
            <w:r>
              <w:rPr>
                <w:rFonts w:hint="eastAsia" w:eastAsia="楷体_GB2312" w:cs="楷体_GB2312"/>
                <w:color w:val="000000"/>
                <w:sz w:val="24"/>
                <w:lang w:eastAsia="zh-CN"/>
              </w:rPr>
              <w:t>0</w:t>
            </w:r>
          </w:p>
          <w:p w14:paraId="71E5C535">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2024</w:t>
            </w:r>
            <w:r>
              <w:rPr>
                <w:rFonts w:hint="eastAsia" w:eastAsia="楷体_GB2312" w:cs="楷体_GB2312"/>
                <w:color w:val="000000"/>
                <w:sz w:val="24"/>
              </w:rPr>
              <w:t>年度已开展绩效目标管理的项目数量：</w:t>
            </w:r>
            <w:r>
              <w:rPr>
                <w:rFonts w:hint="eastAsia" w:eastAsia="楷体_GB2312" w:cs="楷体_GB2312"/>
                <w:color w:val="000000"/>
                <w:sz w:val="24"/>
                <w:lang w:eastAsia="zh-CN"/>
              </w:rPr>
              <w:t>0</w:t>
            </w:r>
          </w:p>
          <w:p w14:paraId="66F937D3">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2024</w:t>
            </w:r>
            <w:r>
              <w:rPr>
                <w:rFonts w:hint="eastAsia" w:eastAsia="楷体_GB2312" w:cs="楷体_GB2312"/>
                <w:color w:val="000000"/>
                <w:sz w:val="24"/>
              </w:rPr>
              <w:t>年度已开展预算绩效运行监控的项目数量：</w:t>
            </w:r>
            <w:r>
              <w:rPr>
                <w:rFonts w:hint="eastAsia" w:eastAsia="楷体_GB2312" w:cs="楷体_GB2312"/>
                <w:color w:val="000000"/>
                <w:sz w:val="24"/>
                <w:lang w:eastAsia="zh-CN"/>
              </w:rPr>
              <w:t>0</w:t>
            </w:r>
          </w:p>
          <w:p w14:paraId="5559FE72">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2024</w:t>
            </w:r>
            <w:r>
              <w:rPr>
                <w:rFonts w:hint="eastAsia" w:eastAsia="楷体_GB2312" w:cs="楷体_GB2312"/>
                <w:color w:val="000000"/>
                <w:sz w:val="24"/>
              </w:rPr>
              <w:t>年度已开展预算绩效自评的项目数量：</w:t>
            </w:r>
            <w:r>
              <w:rPr>
                <w:rFonts w:hint="eastAsia" w:eastAsia="楷体_GB2312" w:cs="楷体_GB2312"/>
                <w:color w:val="000000"/>
                <w:sz w:val="24"/>
                <w:lang w:eastAsia="zh-CN"/>
              </w:rPr>
              <w:t>0</w:t>
            </w:r>
          </w:p>
        </w:tc>
      </w:tr>
      <w:tr w14:paraId="20C6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2843" w:type="dxa"/>
            <w:tcBorders>
              <w:left w:val="single" w:color="auto" w:sz="4" w:space="0"/>
              <w:bottom w:val="single" w:color="auto" w:sz="4" w:space="0"/>
              <w:right w:val="single" w:color="auto" w:sz="4" w:space="0"/>
            </w:tcBorders>
            <w:noWrap/>
            <w:vAlign w:val="center"/>
          </w:tcPr>
          <w:p w14:paraId="1FA2F648">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支出预决算对比情况</w:t>
            </w:r>
          </w:p>
        </w:tc>
        <w:tc>
          <w:tcPr>
            <w:tcW w:w="5572" w:type="dxa"/>
            <w:tcBorders>
              <w:left w:val="single" w:color="auto" w:sz="4" w:space="0"/>
              <w:bottom w:val="single" w:color="auto" w:sz="4" w:space="0"/>
              <w:right w:val="single" w:color="auto" w:sz="4" w:space="0"/>
            </w:tcBorders>
            <w:vAlign w:val="center"/>
          </w:tcPr>
          <w:p w14:paraId="70211094">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2024</w:t>
            </w:r>
            <w:r>
              <w:rPr>
                <w:rFonts w:hint="eastAsia" w:eastAsia="楷体_GB2312" w:cs="楷体_GB2312"/>
                <w:color w:val="000000"/>
                <w:sz w:val="24"/>
              </w:rPr>
              <w:t>年度支出预算金额：</w:t>
            </w:r>
            <w:r>
              <w:rPr>
                <w:rFonts w:hint="eastAsia" w:eastAsia="楷体_GB2312" w:cs="楷体_GB2312"/>
                <w:color w:val="000000"/>
                <w:sz w:val="24"/>
                <w:lang w:eastAsia="zh-CN"/>
              </w:rPr>
              <w:t>42909423.47</w:t>
            </w:r>
          </w:p>
          <w:p w14:paraId="69AD3472">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2024</w:t>
            </w:r>
            <w:r>
              <w:rPr>
                <w:rFonts w:hint="eastAsia" w:eastAsia="楷体_GB2312" w:cs="楷体_GB2312"/>
                <w:color w:val="000000"/>
                <w:sz w:val="24"/>
              </w:rPr>
              <w:t>年度实际支出总额：</w:t>
            </w:r>
            <w:r>
              <w:rPr>
                <w:rFonts w:hint="eastAsia" w:eastAsia="楷体_GB2312" w:cs="楷体_GB2312"/>
                <w:color w:val="000000"/>
                <w:sz w:val="24"/>
                <w:lang w:eastAsia="zh-CN"/>
              </w:rPr>
              <w:t>43041522.68</w:t>
            </w:r>
          </w:p>
        </w:tc>
      </w:tr>
      <w:tr w14:paraId="5829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2843" w:type="dxa"/>
            <w:tcBorders>
              <w:left w:val="single" w:color="auto" w:sz="4" w:space="0"/>
              <w:bottom w:val="single" w:color="auto" w:sz="4" w:space="0"/>
              <w:right w:val="single" w:color="auto" w:sz="4" w:space="0"/>
            </w:tcBorders>
            <w:noWrap/>
            <w:vAlign w:val="center"/>
          </w:tcPr>
          <w:p w14:paraId="6219D7BB">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政府采购预算完成情况</w:t>
            </w:r>
          </w:p>
        </w:tc>
        <w:tc>
          <w:tcPr>
            <w:tcW w:w="5572" w:type="dxa"/>
            <w:tcBorders>
              <w:left w:val="single" w:color="auto" w:sz="4" w:space="0"/>
              <w:bottom w:val="single" w:color="auto" w:sz="4" w:space="0"/>
              <w:right w:val="single" w:color="auto" w:sz="4" w:space="0"/>
            </w:tcBorders>
            <w:vAlign w:val="center"/>
          </w:tcPr>
          <w:p w14:paraId="179A58E7">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2024</w:t>
            </w:r>
            <w:r>
              <w:rPr>
                <w:rFonts w:hint="eastAsia" w:eastAsia="楷体_GB2312" w:cs="楷体_GB2312"/>
                <w:color w:val="000000"/>
                <w:sz w:val="24"/>
              </w:rPr>
              <w:t>年度计划采购金额</w:t>
            </w:r>
            <w:r>
              <w:rPr>
                <w:rFonts w:hint="eastAsia" w:eastAsia="楷体_GB2312" w:cs="楷体_GB2312"/>
                <w:color w:val="000000"/>
                <w:sz w:val="24"/>
                <w:lang w:eastAsia="zh-CN"/>
              </w:rPr>
              <w:t>1200000.00</w:t>
            </w:r>
          </w:p>
          <w:p w14:paraId="506EB6BC">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2024</w:t>
            </w:r>
            <w:r>
              <w:rPr>
                <w:rFonts w:hint="eastAsia" w:eastAsia="楷体_GB2312" w:cs="楷体_GB2312"/>
                <w:color w:val="000000"/>
                <w:sz w:val="24"/>
              </w:rPr>
              <w:t>年度实际采购金额：</w:t>
            </w:r>
            <w:r>
              <w:rPr>
                <w:rFonts w:hint="eastAsia" w:eastAsia="楷体_GB2312" w:cs="楷体_GB2312"/>
                <w:color w:val="000000"/>
                <w:sz w:val="24"/>
                <w:lang w:eastAsia="zh-CN"/>
              </w:rPr>
              <w:t>1166644.82</w:t>
            </w:r>
          </w:p>
        </w:tc>
      </w:tr>
      <w:tr w14:paraId="7673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2843" w:type="dxa"/>
            <w:tcBorders>
              <w:left w:val="single" w:color="auto" w:sz="4" w:space="0"/>
              <w:bottom w:val="single" w:color="auto" w:sz="4" w:space="0"/>
              <w:right w:val="single" w:color="auto" w:sz="4" w:space="0"/>
            </w:tcBorders>
            <w:noWrap/>
            <w:vAlign w:val="center"/>
          </w:tcPr>
          <w:p w14:paraId="3F0BC609">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固定资产账实相符程度</w:t>
            </w:r>
          </w:p>
        </w:tc>
        <w:tc>
          <w:tcPr>
            <w:tcW w:w="5572" w:type="dxa"/>
            <w:tcBorders>
              <w:left w:val="single" w:color="auto" w:sz="4" w:space="0"/>
              <w:bottom w:val="single" w:color="auto" w:sz="4" w:space="0"/>
              <w:right w:val="single" w:color="auto" w:sz="4" w:space="0"/>
            </w:tcBorders>
            <w:vAlign w:val="center"/>
          </w:tcPr>
          <w:p w14:paraId="18C53DA6">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2024</w:t>
            </w:r>
            <w:r>
              <w:rPr>
                <w:rFonts w:hint="eastAsia" w:eastAsia="楷体_GB2312" w:cs="楷体_GB2312"/>
                <w:color w:val="000000"/>
                <w:sz w:val="24"/>
              </w:rPr>
              <w:t>年度固定资产盘点前账面金额：</w:t>
            </w:r>
            <w:r>
              <w:rPr>
                <w:rFonts w:hint="eastAsia" w:eastAsia="楷体_GB2312" w:cs="楷体_GB2312"/>
                <w:color w:val="000000"/>
                <w:sz w:val="24"/>
                <w:lang w:eastAsia="zh-CN"/>
              </w:rPr>
              <w:t>23451189.13</w:t>
            </w:r>
          </w:p>
          <w:p w14:paraId="057FECAD">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2024</w:t>
            </w:r>
            <w:r>
              <w:rPr>
                <w:rFonts w:hint="eastAsia" w:eastAsia="楷体_GB2312" w:cs="楷体_GB2312"/>
                <w:color w:val="000000"/>
                <w:sz w:val="24"/>
              </w:rPr>
              <w:t>年度固定资产盘点后实际金额：</w:t>
            </w:r>
            <w:r>
              <w:rPr>
                <w:rFonts w:hint="eastAsia" w:eastAsia="楷体_GB2312" w:cs="楷体_GB2312"/>
                <w:color w:val="000000"/>
                <w:sz w:val="24"/>
                <w:lang w:eastAsia="zh-CN"/>
              </w:rPr>
              <w:t>23451189.13</w:t>
            </w:r>
          </w:p>
        </w:tc>
      </w:tr>
      <w:tr w14:paraId="1623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2843" w:type="dxa"/>
            <w:tcBorders>
              <w:left w:val="single" w:color="auto" w:sz="4" w:space="0"/>
              <w:bottom w:val="single" w:color="auto" w:sz="4" w:space="0"/>
              <w:right w:val="single" w:color="auto" w:sz="4" w:space="0"/>
            </w:tcBorders>
            <w:noWrap/>
            <w:vAlign w:val="center"/>
          </w:tcPr>
          <w:p w14:paraId="524F2D87">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项目投资计划完成情况</w:t>
            </w:r>
          </w:p>
        </w:tc>
        <w:tc>
          <w:tcPr>
            <w:tcW w:w="5572" w:type="dxa"/>
            <w:tcBorders>
              <w:left w:val="single" w:color="auto" w:sz="4" w:space="0"/>
              <w:bottom w:val="single" w:color="auto" w:sz="4" w:space="0"/>
              <w:right w:val="single" w:color="auto" w:sz="4" w:space="0"/>
            </w:tcBorders>
            <w:vAlign w:val="center"/>
          </w:tcPr>
          <w:p w14:paraId="24EC4F8D">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2024</w:t>
            </w:r>
            <w:r>
              <w:rPr>
                <w:rFonts w:hint="eastAsia" w:eastAsia="楷体_GB2312" w:cs="楷体_GB2312"/>
                <w:color w:val="000000"/>
                <w:sz w:val="24"/>
              </w:rPr>
              <w:t>年度投资计划总额：</w:t>
            </w:r>
            <w:r>
              <w:rPr>
                <w:rFonts w:hint="eastAsia" w:eastAsia="楷体_GB2312" w:cs="楷体_GB2312"/>
                <w:color w:val="000000"/>
                <w:sz w:val="24"/>
                <w:lang w:eastAsia="zh-CN"/>
              </w:rPr>
              <w:t>0.00</w:t>
            </w:r>
          </w:p>
          <w:p w14:paraId="36F9ECCB">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2024</w:t>
            </w:r>
            <w:r>
              <w:rPr>
                <w:rFonts w:hint="eastAsia" w:eastAsia="楷体_GB2312" w:cs="楷体_GB2312"/>
                <w:color w:val="000000"/>
                <w:sz w:val="24"/>
              </w:rPr>
              <w:t>年度实际投资总额：</w:t>
            </w:r>
            <w:r>
              <w:rPr>
                <w:rFonts w:hint="eastAsia" w:eastAsia="楷体_GB2312" w:cs="楷体_GB2312"/>
                <w:color w:val="000000"/>
                <w:sz w:val="24"/>
                <w:lang w:eastAsia="zh-CN"/>
              </w:rPr>
              <w:t>0.00</w:t>
            </w:r>
          </w:p>
        </w:tc>
      </w:tr>
      <w:tr w14:paraId="3EB5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2843" w:type="dxa"/>
            <w:tcBorders>
              <w:left w:val="single" w:color="auto" w:sz="4" w:space="0"/>
              <w:bottom w:val="single" w:color="auto" w:sz="4" w:space="0"/>
              <w:right w:val="single" w:color="auto" w:sz="4" w:space="0"/>
            </w:tcBorders>
            <w:noWrap/>
            <w:vAlign w:val="center"/>
          </w:tcPr>
          <w:p w14:paraId="25146CBB">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合同订立规范情况</w:t>
            </w:r>
          </w:p>
        </w:tc>
        <w:tc>
          <w:tcPr>
            <w:tcW w:w="5572" w:type="dxa"/>
            <w:tcBorders>
              <w:left w:val="single" w:color="auto" w:sz="4" w:space="0"/>
              <w:bottom w:val="single" w:color="auto" w:sz="4" w:space="0"/>
              <w:right w:val="single" w:color="auto" w:sz="4" w:space="0"/>
            </w:tcBorders>
            <w:vAlign w:val="center"/>
          </w:tcPr>
          <w:p w14:paraId="5661B518">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2024</w:t>
            </w:r>
            <w:r>
              <w:rPr>
                <w:rFonts w:hint="eastAsia" w:eastAsia="楷体_GB2312" w:cs="楷体_GB2312"/>
                <w:color w:val="000000"/>
                <w:sz w:val="24"/>
              </w:rPr>
              <w:t>年度合同订立数：</w:t>
            </w:r>
            <w:r>
              <w:rPr>
                <w:rFonts w:hint="eastAsia" w:eastAsia="楷体_GB2312" w:cs="楷体_GB2312"/>
                <w:color w:val="000000"/>
                <w:sz w:val="24"/>
                <w:lang w:eastAsia="zh-CN"/>
              </w:rPr>
              <w:t>0</w:t>
            </w:r>
          </w:p>
          <w:p w14:paraId="163EEE13">
            <w:pPr>
              <w:spacing w:line="320" w:lineRule="exact"/>
              <w:jc w:val="left"/>
              <w:rPr>
                <w:rFonts w:hint="eastAsia" w:eastAsia="楷体_GB2312" w:cs="楷体_GB2312"/>
                <w:color w:val="000000"/>
                <w:sz w:val="24"/>
                <w:lang w:eastAsia="zh-CN"/>
              </w:rPr>
            </w:pPr>
            <w:r>
              <w:rPr>
                <w:rFonts w:hint="eastAsia" w:eastAsia="楷体_GB2312" w:cs="楷体_GB2312"/>
                <w:color w:val="000000"/>
                <w:sz w:val="24"/>
                <w:lang w:eastAsia="zh-CN"/>
              </w:rPr>
              <w:t>2024</w:t>
            </w:r>
            <w:r>
              <w:rPr>
                <w:rFonts w:hint="eastAsia" w:eastAsia="楷体_GB2312" w:cs="楷体_GB2312"/>
                <w:color w:val="000000"/>
                <w:sz w:val="24"/>
              </w:rPr>
              <w:t>年度经合法性审查的合同数：</w:t>
            </w:r>
            <w:r>
              <w:rPr>
                <w:rFonts w:hint="eastAsia" w:eastAsia="楷体_GB2312" w:cs="楷体_GB2312"/>
                <w:color w:val="000000"/>
                <w:sz w:val="24"/>
                <w:lang w:eastAsia="zh-CN"/>
              </w:rPr>
              <w:t>0</w:t>
            </w:r>
          </w:p>
        </w:tc>
      </w:tr>
    </w:tbl>
    <w:p w14:paraId="54FBBB9E">
      <w:pPr>
        <w:pStyle w:val="28"/>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说明：根据单位内部控制管理制度、业务表单与文件、信息系统数据等材料填写。所填数据中，金额类指标以“元”为单位。</w:t>
      </w:r>
    </w:p>
    <w:p w14:paraId="31317903">
      <w:pPr>
        <w:pStyle w:val="28"/>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1.预算绩效管理情况中的“2024年度项目总数”是指经批复的2024年度单位正在执行的项目数量；“2024年度新增重大项目数量”是指2024年度单位新设立的非常态化、非延续性的重大项目数量，重大项目衡量标准由各单位根据实际情况界定；“2024年度已开展事前绩效评估的新增重大项目数量”是指单位组织或由主管部门统一组织的针对2024年度新设立的重大项目开展事前绩效评估的项目数量；“2024年度已开展绩效目标管理的项目数量”是指单位2024年度执行绩效目标管理的项目数量；“2024年度已开展预算绩效运行监控的项目数量”是指单位针对2024年度执行项目开展绩效运行监控的项目数量；“2024年度已开展预算绩效自评的项目数量”是指单位针对2024年度执行项目开展绩效自评的项目数量（包括委托第三方开展绩效评价的项目）。预算项目是指非基本支出的二级预算项目。需在内部控制报告填报系统中填写单位正在执行的预算项目清单。</w:t>
      </w:r>
    </w:p>
    <w:p w14:paraId="1493E356">
      <w:pPr>
        <w:pStyle w:val="28"/>
        <w:tabs>
          <w:tab w:val="left" w:pos="851"/>
        </w:tabs>
        <w:spacing w:line="360" w:lineRule="auto"/>
        <w:ind w:firstLine="480"/>
        <w:rPr>
          <w:rFonts w:hint="eastAsia" w:eastAsia="楷体_GB2312" w:cs="楷体_GB2312"/>
          <w:color w:val="000000"/>
          <w:sz w:val="24"/>
          <w:lang w:eastAsia="zh-CN"/>
        </w:rPr>
      </w:pPr>
      <w:r>
        <w:rPr>
          <w:rFonts w:hint="eastAsia" w:eastAsia="楷体_GB2312" w:cs="楷体_GB2312"/>
          <w:color w:val="000000"/>
          <w:sz w:val="24"/>
        </w:rPr>
        <w:t>2.支出预决算对比情况中的“2024年度支出预算金额”是指2024年度决算报表的《收入支出决算总表》（财决01表）中2024年度支出的全年预算数，即表第8栏次第84行合计数（单位：元）；“2024年度实际支出总额”是指2024年度决算报表的《收入支出决算总表》（财决01表）中2024年度支出的决算数，即表第9栏次第84行合计数（单位：元）。</w:t>
      </w:r>
      <w:r>
        <w:rPr>
          <w:rFonts w:hint="eastAsia" w:eastAsia="楷体_GB2312" w:cs="楷体_GB2312"/>
          <w:color w:val="000000"/>
          <w:sz w:val="24"/>
          <w:lang w:eastAsia="zh-CN"/>
        </w:rPr>
        <w:tab/>
      </w:r>
    </w:p>
    <w:p w14:paraId="232C3FF7">
      <w:pPr>
        <w:pStyle w:val="28"/>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3.政府采购预算完成情况中的“2024年度计划采购金额”是指2024年度单位预算批复中的政府采购预算金额和采购预算调整金额的合计数（单位：元）；“2024年度实际采购金额”是指实际完成的政府采购金额，即部门决算报表中相关政府采购数据，根据决算报表《机构运行信息表》（财决附03表）第4栏次第40行“政府采购支出合计”的统计数（单位：元）填列。</w:t>
      </w:r>
    </w:p>
    <w:p w14:paraId="019E3691">
      <w:pPr>
        <w:pStyle w:val="28"/>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4.固定资产账实相符程度中的“2024年度固定资产盘点前账面金额”是指单位在进行固定资产盘点前确认的账面原值（单位：元）；“2024年度固定资产盘点后实际金额”是指单位按照上述有关规定进行固定资产盘点后确认的实际金额（单位：元）。如单位未开展2024年度固定资产盘点，“2024年度固定资产盘点后实际金额”填0。需上传当年度单位固定资产盘点前账面金额记录，固定资产盘点表等资料作为佐证材料。</w:t>
      </w:r>
    </w:p>
    <w:p w14:paraId="3F15D6FC">
      <w:pPr>
        <w:pStyle w:val="28"/>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5.项目投资计划完成情况中的“2024年度投资计划总额”是指以预算年度为统计口径的基本建设类项目计划投资金额（单位：元），包括发展改革委安排的基建项目、财政安排的基建项目、其他主管部门安排的基建项目。该指标建议参考投资计划表、项目概预算表等资料填写；“2024年度实际投资额”是指2024年度决算报表中基本建设类项目支出决算金额，根据决算报表《项目支出分项目收入支出决算表》（财决02-2表）“基建项目属性”为“发展改革委安排的基建项目”、“财政安排的基建项目”、“其他主管部门安排的基建项目”的支出数合计（单位：元）填列。需上传投资计划表或项目概预算表（项目数量大于5个的单位，抽取5份；项目数量小于或等于5个的单位，全部上传）作为佐证材料。</w:t>
      </w:r>
    </w:p>
    <w:p w14:paraId="7069DEA4">
      <w:pPr>
        <w:pStyle w:val="28"/>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6.合同订立规范情况中的“2024年度合同订立数”是指单位2024年度签订的全部合同个数；“2024年度经合法性审查的合同数”是指在已签订的合同中，严格执行审核审批程序的合同，其中具有重大影响的合同需有法务人员参与审批并签字。该指标建议参考合同审批流程、合同台账等资料填写。需上传合同台账、审核后的合同申请审批单（合同数量大于5个的单位，抽取5份；合同数量小于或等于5个的单位，全部上传）作为佐证材料。</w:t>
      </w:r>
    </w:p>
    <w:p w14:paraId="265E9C54">
      <w:pPr>
        <w:pStyle w:val="28"/>
        <w:tabs>
          <w:tab w:val="left" w:pos="851"/>
        </w:tabs>
        <w:spacing w:line="360" w:lineRule="auto"/>
        <w:ind w:firstLine="480"/>
        <w:rPr>
          <w:rFonts w:hint="eastAsia" w:eastAsia="楷体_GB2312" w:cs="楷体_GB2312"/>
          <w:color w:val="000000"/>
          <w:sz w:val="24"/>
        </w:rPr>
      </w:pPr>
    </w:p>
    <w:sectPr>
      <w:pgSz w:w="11906" w:h="16838"/>
      <w:pgMar w:top="1440" w:right="1800" w:bottom="1440" w:left="1800" w:header="851" w:footer="49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E18E6">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18415" b="4445"/>
              <wp:wrapNone/>
              <wp:docPr id="1" name="文本框 1025"/>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a:noFill/>
                      </a:ln>
                      <a:effectLst/>
                    </wps:spPr>
                    <wps:txbx>
                      <w:txbxContent>
                        <w:p w14:paraId="7F5AAA32">
                          <w:pPr>
                            <w:pStyle w:val="7"/>
                          </w:pPr>
                          <w:r>
                            <w:rPr>
                              <w:rFonts w:hint="eastAsia"/>
                            </w:rPr>
                            <w:t xml:space="preserve">— </w:t>
                          </w:r>
                          <w:r>
                            <w:fldChar w:fldCharType="begin"/>
                          </w:r>
                          <w:r>
                            <w:instrText xml:space="preserve"> PAGE  \* MERGEFORMAT </w:instrText>
                          </w:r>
                          <w:r>
                            <w:fldChar w:fldCharType="separate"/>
                          </w:r>
                          <w:r>
                            <w:t>2</w:t>
                          </w:r>
                          <w:r>
                            <w:fldChar w:fldCharType="end"/>
                          </w:r>
                          <w:r>
                            <w:rPr>
                              <w:rFonts w:hint="eastAsia"/>
                            </w:rPr>
                            <w:t xml:space="preserve"> —</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ZQ6jy0QAAAAMBAAAPAAAAAAAAAAEAIAAAACIAAABkcnMvZG93&#10;bnJldi54bWxQSwECFAAUAAAACACHTuJA9IVAg84BAACcAwAADgAAAAAAAAABACAAAAAgAQAAZHJz&#10;L2Uyb0RvYy54bWxQSwUGAAAAAAYABgBZAQAAYAUAAAAA&#10;">
              <v:fill on="f" focussize="0,0"/>
              <v:stroke on="f"/>
              <v:imagedata o:title=""/>
              <o:lock v:ext="edit" aspectratio="f"/>
              <v:textbox inset="0mm,0mm,0mm,0mm" style="mso-fit-shape-to-text:t;">
                <w:txbxContent>
                  <w:p w14:paraId="7F5AAA32">
                    <w:pPr>
                      <w:pStyle w:val="7"/>
                    </w:pPr>
                    <w:r>
                      <w:rPr>
                        <w:rFonts w:hint="eastAsia"/>
                      </w:rPr>
                      <w:t xml:space="preserve">— </w:t>
                    </w:r>
                    <w:r>
                      <w:fldChar w:fldCharType="begin"/>
                    </w:r>
                    <w:r>
                      <w:instrText xml:space="preserve"> PAGE  \* MERGEFORMAT </w:instrText>
                    </w:r>
                    <w:r>
                      <w:fldChar w:fldCharType="separate"/>
                    </w:r>
                    <w:r>
                      <w:t>2</w:t>
                    </w:r>
                    <w: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410B2">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77CEB6C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jMTVmYTdjM2IyZTNhYzM3NzgwMDZmODZkNzRiZTMifQ=="/>
  </w:docVars>
  <w:rsids>
    <w:rsidRoot w:val="0024403F"/>
    <w:rsid w:val="000002FE"/>
    <w:rsid w:val="0000053C"/>
    <w:rsid w:val="00001795"/>
    <w:rsid w:val="0000188E"/>
    <w:rsid w:val="00001ADD"/>
    <w:rsid w:val="00002BDB"/>
    <w:rsid w:val="00004163"/>
    <w:rsid w:val="00005842"/>
    <w:rsid w:val="000069F8"/>
    <w:rsid w:val="0000718E"/>
    <w:rsid w:val="0001119A"/>
    <w:rsid w:val="00011DEB"/>
    <w:rsid w:val="000134C4"/>
    <w:rsid w:val="00013587"/>
    <w:rsid w:val="000135C8"/>
    <w:rsid w:val="000140D2"/>
    <w:rsid w:val="0001604A"/>
    <w:rsid w:val="00017210"/>
    <w:rsid w:val="00020F9B"/>
    <w:rsid w:val="0002117A"/>
    <w:rsid w:val="00021969"/>
    <w:rsid w:val="00022308"/>
    <w:rsid w:val="000223EB"/>
    <w:rsid w:val="00023B02"/>
    <w:rsid w:val="00024002"/>
    <w:rsid w:val="00026468"/>
    <w:rsid w:val="000265D5"/>
    <w:rsid w:val="00031B1B"/>
    <w:rsid w:val="00032A61"/>
    <w:rsid w:val="00035024"/>
    <w:rsid w:val="0003555F"/>
    <w:rsid w:val="00035B8E"/>
    <w:rsid w:val="00040BD3"/>
    <w:rsid w:val="00040FA0"/>
    <w:rsid w:val="0004186D"/>
    <w:rsid w:val="00041E2A"/>
    <w:rsid w:val="00041E65"/>
    <w:rsid w:val="00042E86"/>
    <w:rsid w:val="0004300B"/>
    <w:rsid w:val="00043188"/>
    <w:rsid w:val="00043EA4"/>
    <w:rsid w:val="000448FA"/>
    <w:rsid w:val="00045768"/>
    <w:rsid w:val="00045A15"/>
    <w:rsid w:val="000471BC"/>
    <w:rsid w:val="00050853"/>
    <w:rsid w:val="000517E5"/>
    <w:rsid w:val="00051AF3"/>
    <w:rsid w:val="00052496"/>
    <w:rsid w:val="00053B53"/>
    <w:rsid w:val="000550B2"/>
    <w:rsid w:val="0005513B"/>
    <w:rsid w:val="00055FAC"/>
    <w:rsid w:val="00056A1C"/>
    <w:rsid w:val="00064049"/>
    <w:rsid w:val="00064A26"/>
    <w:rsid w:val="00065F64"/>
    <w:rsid w:val="000704A2"/>
    <w:rsid w:val="000736D9"/>
    <w:rsid w:val="000744CA"/>
    <w:rsid w:val="000762C7"/>
    <w:rsid w:val="00076C6B"/>
    <w:rsid w:val="00080A90"/>
    <w:rsid w:val="00081458"/>
    <w:rsid w:val="000819E5"/>
    <w:rsid w:val="000829DB"/>
    <w:rsid w:val="00082A01"/>
    <w:rsid w:val="000835E6"/>
    <w:rsid w:val="00085A6C"/>
    <w:rsid w:val="000877F4"/>
    <w:rsid w:val="00091127"/>
    <w:rsid w:val="0009302D"/>
    <w:rsid w:val="00094A2F"/>
    <w:rsid w:val="00094BD1"/>
    <w:rsid w:val="000A00B5"/>
    <w:rsid w:val="000A0136"/>
    <w:rsid w:val="000A3678"/>
    <w:rsid w:val="000A39CD"/>
    <w:rsid w:val="000A40FB"/>
    <w:rsid w:val="000A44DF"/>
    <w:rsid w:val="000A6AF9"/>
    <w:rsid w:val="000A6FAE"/>
    <w:rsid w:val="000A7618"/>
    <w:rsid w:val="000A7B0A"/>
    <w:rsid w:val="000B1641"/>
    <w:rsid w:val="000B1BC8"/>
    <w:rsid w:val="000B283F"/>
    <w:rsid w:val="000B2867"/>
    <w:rsid w:val="000B3500"/>
    <w:rsid w:val="000B3CCA"/>
    <w:rsid w:val="000B7CA9"/>
    <w:rsid w:val="000C3BAF"/>
    <w:rsid w:val="000C6C8E"/>
    <w:rsid w:val="000C7874"/>
    <w:rsid w:val="000C7A72"/>
    <w:rsid w:val="000D07EE"/>
    <w:rsid w:val="000D286E"/>
    <w:rsid w:val="000D2963"/>
    <w:rsid w:val="000D506C"/>
    <w:rsid w:val="000D53D4"/>
    <w:rsid w:val="000D5640"/>
    <w:rsid w:val="000D666C"/>
    <w:rsid w:val="000E05E6"/>
    <w:rsid w:val="000E18D7"/>
    <w:rsid w:val="000E1C87"/>
    <w:rsid w:val="000E3219"/>
    <w:rsid w:val="000E4E65"/>
    <w:rsid w:val="000E6978"/>
    <w:rsid w:val="000F07B1"/>
    <w:rsid w:val="000F190E"/>
    <w:rsid w:val="000F2303"/>
    <w:rsid w:val="000F34D5"/>
    <w:rsid w:val="000F3ADF"/>
    <w:rsid w:val="000F49C3"/>
    <w:rsid w:val="000F4E8E"/>
    <w:rsid w:val="000F6B46"/>
    <w:rsid w:val="001011FE"/>
    <w:rsid w:val="001012BA"/>
    <w:rsid w:val="001019A9"/>
    <w:rsid w:val="00101E42"/>
    <w:rsid w:val="001032BD"/>
    <w:rsid w:val="00103CA7"/>
    <w:rsid w:val="0010498F"/>
    <w:rsid w:val="00105104"/>
    <w:rsid w:val="001058F4"/>
    <w:rsid w:val="00106978"/>
    <w:rsid w:val="00106CC3"/>
    <w:rsid w:val="00106DF6"/>
    <w:rsid w:val="0011132A"/>
    <w:rsid w:val="001113BD"/>
    <w:rsid w:val="001128FD"/>
    <w:rsid w:val="00112CEA"/>
    <w:rsid w:val="00112D65"/>
    <w:rsid w:val="001133ED"/>
    <w:rsid w:val="00116824"/>
    <w:rsid w:val="00120244"/>
    <w:rsid w:val="0012111A"/>
    <w:rsid w:val="001225F4"/>
    <w:rsid w:val="00122738"/>
    <w:rsid w:val="00123E29"/>
    <w:rsid w:val="00124BAA"/>
    <w:rsid w:val="00125F80"/>
    <w:rsid w:val="0012611B"/>
    <w:rsid w:val="00126320"/>
    <w:rsid w:val="0012717E"/>
    <w:rsid w:val="00127443"/>
    <w:rsid w:val="00127B95"/>
    <w:rsid w:val="00127DB5"/>
    <w:rsid w:val="00127E10"/>
    <w:rsid w:val="00130702"/>
    <w:rsid w:val="001309D2"/>
    <w:rsid w:val="00132D4F"/>
    <w:rsid w:val="0013385A"/>
    <w:rsid w:val="00134211"/>
    <w:rsid w:val="00134222"/>
    <w:rsid w:val="00134C9C"/>
    <w:rsid w:val="00135CDA"/>
    <w:rsid w:val="00136A7C"/>
    <w:rsid w:val="00136BC3"/>
    <w:rsid w:val="00136DEB"/>
    <w:rsid w:val="00137637"/>
    <w:rsid w:val="001402D1"/>
    <w:rsid w:val="001403F8"/>
    <w:rsid w:val="001424AD"/>
    <w:rsid w:val="00142D3B"/>
    <w:rsid w:val="00142E34"/>
    <w:rsid w:val="00144417"/>
    <w:rsid w:val="001452C0"/>
    <w:rsid w:val="00145546"/>
    <w:rsid w:val="00145689"/>
    <w:rsid w:val="00146B4C"/>
    <w:rsid w:val="00147D40"/>
    <w:rsid w:val="0015016B"/>
    <w:rsid w:val="00151100"/>
    <w:rsid w:val="00154698"/>
    <w:rsid w:val="00154B7E"/>
    <w:rsid w:val="00155EDD"/>
    <w:rsid w:val="001608FC"/>
    <w:rsid w:val="001612C8"/>
    <w:rsid w:val="001629B5"/>
    <w:rsid w:val="00163130"/>
    <w:rsid w:val="001638AD"/>
    <w:rsid w:val="00166AB3"/>
    <w:rsid w:val="00166B85"/>
    <w:rsid w:val="0016742E"/>
    <w:rsid w:val="00167CCE"/>
    <w:rsid w:val="00167E15"/>
    <w:rsid w:val="00167EE4"/>
    <w:rsid w:val="00172AC4"/>
    <w:rsid w:val="00174007"/>
    <w:rsid w:val="00175EE7"/>
    <w:rsid w:val="001767FF"/>
    <w:rsid w:val="00176F2B"/>
    <w:rsid w:val="0018014F"/>
    <w:rsid w:val="00181778"/>
    <w:rsid w:val="00184B7F"/>
    <w:rsid w:val="001858A2"/>
    <w:rsid w:val="00185C8A"/>
    <w:rsid w:val="00186B78"/>
    <w:rsid w:val="0018717B"/>
    <w:rsid w:val="001875E0"/>
    <w:rsid w:val="0018798D"/>
    <w:rsid w:val="001918B0"/>
    <w:rsid w:val="00192252"/>
    <w:rsid w:val="00192A7A"/>
    <w:rsid w:val="00193B98"/>
    <w:rsid w:val="0019426A"/>
    <w:rsid w:val="00194C68"/>
    <w:rsid w:val="001952A2"/>
    <w:rsid w:val="0019597E"/>
    <w:rsid w:val="00197862"/>
    <w:rsid w:val="00197A1A"/>
    <w:rsid w:val="001A07E6"/>
    <w:rsid w:val="001A1A18"/>
    <w:rsid w:val="001A2302"/>
    <w:rsid w:val="001A24C0"/>
    <w:rsid w:val="001A2EED"/>
    <w:rsid w:val="001A3408"/>
    <w:rsid w:val="001A5B21"/>
    <w:rsid w:val="001A64BF"/>
    <w:rsid w:val="001A779E"/>
    <w:rsid w:val="001B13DE"/>
    <w:rsid w:val="001B3985"/>
    <w:rsid w:val="001B3EEC"/>
    <w:rsid w:val="001B4567"/>
    <w:rsid w:val="001B4F71"/>
    <w:rsid w:val="001B5091"/>
    <w:rsid w:val="001B6792"/>
    <w:rsid w:val="001B6C4C"/>
    <w:rsid w:val="001C1D2F"/>
    <w:rsid w:val="001C1F48"/>
    <w:rsid w:val="001C226E"/>
    <w:rsid w:val="001C255A"/>
    <w:rsid w:val="001C34F1"/>
    <w:rsid w:val="001C62AF"/>
    <w:rsid w:val="001D3977"/>
    <w:rsid w:val="001D3A15"/>
    <w:rsid w:val="001D4CEB"/>
    <w:rsid w:val="001D69EE"/>
    <w:rsid w:val="001E3A28"/>
    <w:rsid w:val="001E6257"/>
    <w:rsid w:val="001E6A53"/>
    <w:rsid w:val="001E7466"/>
    <w:rsid w:val="001F2213"/>
    <w:rsid w:val="001F5BB6"/>
    <w:rsid w:val="001F7D18"/>
    <w:rsid w:val="001F7D51"/>
    <w:rsid w:val="00200BDF"/>
    <w:rsid w:val="00201A11"/>
    <w:rsid w:val="00201DA3"/>
    <w:rsid w:val="0020338A"/>
    <w:rsid w:val="00203B24"/>
    <w:rsid w:val="00205FAB"/>
    <w:rsid w:val="00206CEE"/>
    <w:rsid w:val="00207C70"/>
    <w:rsid w:val="002101CE"/>
    <w:rsid w:val="0021105D"/>
    <w:rsid w:val="002120BF"/>
    <w:rsid w:val="00212A50"/>
    <w:rsid w:val="0021364A"/>
    <w:rsid w:val="00213FDC"/>
    <w:rsid w:val="002151C9"/>
    <w:rsid w:val="002157B1"/>
    <w:rsid w:val="0021615F"/>
    <w:rsid w:val="002167A8"/>
    <w:rsid w:val="002168D0"/>
    <w:rsid w:val="002205EE"/>
    <w:rsid w:val="0022065D"/>
    <w:rsid w:val="00220674"/>
    <w:rsid w:val="00220934"/>
    <w:rsid w:val="00220A85"/>
    <w:rsid w:val="002217D6"/>
    <w:rsid w:val="00221A29"/>
    <w:rsid w:val="00222022"/>
    <w:rsid w:val="002229FF"/>
    <w:rsid w:val="00223282"/>
    <w:rsid w:val="0022477A"/>
    <w:rsid w:val="002249D4"/>
    <w:rsid w:val="00224FAE"/>
    <w:rsid w:val="002255B9"/>
    <w:rsid w:val="00225DC6"/>
    <w:rsid w:val="00225F25"/>
    <w:rsid w:val="002264B2"/>
    <w:rsid w:val="00227977"/>
    <w:rsid w:val="002309D4"/>
    <w:rsid w:val="002309F2"/>
    <w:rsid w:val="00231A9E"/>
    <w:rsid w:val="0023333B"/>
    <w:rsid w:val="00233B91"/>
    <w:rsid w:val="0023495D"/>
    <w:rsid w:val="002351A6"/>
    <w:rsid w:val="002359BE"/>
    <w:rsid w:val="002363EB"/>
    <w:rsid w:val="00236914"/>
    <w:rsid w:val="00236B4D"/>
    <w:rsid w:val="002417E5"/>
    <w:rsid w:val="0024403F"/>
    <w:rsid w:val="002440C0"/>
    <w:rsid w:val="00245608"/>
    <w:rsid w:val="002457B7"/>
    <w:rsid w:val="002457C8"/>
    <w:rsid w:val="00245B8E"/>
    <w:rsid w:val="00246FEA"/>
    <w:rsid w:val="00247343"/>
    <w:rsid w:val="002474FA"/>
    <w:rsid w:val="00247637"/>
    <w:rsid w:val="00247692"/>
    <w:rsid w:val="00247ABC"/>
    <w:rsid w:val="00247FBF"/>
    <w:rsid w:val="002507D2"/>
    <w:rsid w:val="00250BDF"/>
    <w:rsid w:val="0025111F"/>
    <w:rsid w:val="002515BC"/>
    <w:rsid w:val="00253553"/>
    <w:rsid w:val="002536A5"/>
    <w:rsid w:val="002546C3"/>
    <w:rsid w:val="00254919"/>
    <w:rsid w:val="00254A01"/>
    <w:rsid w:val="00255A99"/>
    <w:rsid w:val="00256029"/>
    <w:rsid w:val="0025662F"/>
    <w:rsid w:val="00256CE6"/>
    <w:rsid w:val="0025718B"/>
    <w:rsid w:val="00257B98"/>
    <w:rsid w:val="00257F10"/>
    <w:rsid w:val="0026086F"/>
    <w:rsid w:val="0026166A"/>
    <w:rsid w:val="0026175D"/>
    <w:rsid w:val="002621E2"/>
    <w:rsid w:val="00265499"/>
    <w:rsid w:val="0026644C"/>
    <w:rsid w:val="00267109"/>
    <w:rsid w:val="002674B0"/>
    <w:rsid w:val="00267983"/>
    <w:rsid w:val="00270BE1"/>
    <w:rsid w:val="00274037"/>
    <w:rsid w:val="00276731"/>
    <w:rsid w:val="00276E69"/>
    <w:rsid w:val="00284E02"/>
    <w:rsid w:val="002854E2"/>
    <w:rsid w:val="00287076"/>
    <w:rsid w:val="00287374"/>
    <w:rsid w:val="00287B12"/>
    <w:rsid w:val="0029014A"/>
    <w:rsid w:val="002903AC"/>
    <w:rsid w:val="00292645"/>
    <w:rsid w:val="002940D1"/>
    <w:rsid w:val="00294A57"/>
    <w:rsid w:val="00294BAF"/>
    <w:rsid w:val="00294DC1"/>
    <w:rsid w:val="0029679E"/>
    <w:rsid w:val="00297071"/>
    <w:rsid w:val="002A02CA"/>
    <w:rsid w:val="002A0A66"/>
    <w:rsid w:val="002A411A"/>
    <w:rsid w:val="002A6569"/>
    <w:rsid w:val="002A7B7B"/>
    <w:rsid w:val="002B0765"/>
    <w:rsid w:val="002B0C38"/>
    <w:rsid w:val="002B2728"/>
    <w:rsid w:val="002B317D"/>
    <w:rsid w:val="002B3839"/>
    <w:rsid w:val="002B5724"/>
    <w:rsid w:val="002B6407"/>
    <w:rsid w:val="002C066A"/>
    <w:rsid w:val="002C1C0F"/>
    <w:rsid w:val="002C1DA3"/>
    <w:rsid w:val="002C2C95"/>
    <w:rsid w:val="002C361C"/>
    <w:rsid w:val="002C3B5E"/>
    <w:rsid w:val="002C44C2"/>
    <w:rsid w:val="002C5F40"/>
    <w:rsid w:val="002C67BA"/>
    <w:rsid w:val="002C6815"/>
    <w:rsid w:val="002C72BD"/>
    <w:rsid w:val="002C750D"/>
    <w:rsid w:val="002C7A35"/>
    <w:rsid w:val="002D1657"/>
    <w:rsid w:val="002D59DA"/>
    <w:rsid w:val="002D611F"/>
    <w:rsid w:val="002D656E"/>
    <w:rsid w:val="002D700E"/>
    <w:rsid w:val="002D7C8F"/>
    <w:rsid w:val="002E1C22"/>
    <w:rsid w:val="002E20E3"/>
    <w:rsid w:val="002E24E0"/>
    <w:rsid w:val="002E3BCE"/>
    <w:rsid w:val="002E422C"/>
    <w:rsid w:val="002E4267"/>
    <w:rsid w:val="002E53E5"/>
    <w:rsid w:val="002E6CDA"/>
    <w:rsid w:val="002F149F"/>
    <w:rsid w:val="002F5922"/>
    <w:rsid w:val="002F5DF8"/>
    <w:rsid w:val="002F67B9"/>
    <w:rsid w:val="00300B01"/>
    <w:rsid w:val="00300BD2"/>
    <w:rsid w:val="00301B9A"/>
    <w:rsid w:val="003032E3"/>
    <w:rsid w:val="003034E5"/>
    <w:rsid w:val="003048DE"/>
    <w:rsid w:val="00307A1E"/>
    <w:rsid w:val="00310BF0"/>
    <w:rsid w:val="00311A17"/>
    <w:rsid w:val="00312BD4"/>
    <w:rsid w:val="003133F4"/>
    <w:rsid w:val="0031396B"/>
    <w:rsid w:val="00313DCB"/>
    <w:rsid w:val="00314C55"/>
    <w:rsid w:val="00315086"/>
    <w:rsid w:val="00316401"/>
    <w:rsid w:val="00320F71"/>
    <w:rsid w:val="00321FD5"/>
    <w:rsid w:val="003225D0"/>
    <w:rsid w:val="00323FB7"/>
    <w:rsid w:val="0032551A"/>
    <w:rsid w:val="003256A3"/>
    <w:rsid w:val="0032662B"/>
    <w:rsid w:val="0032675D"/>
    <w:rsid w:val="00327B90"/>
    <w:rsid w:val="00327FA1"/>
    <w:rsid w:val="003303DA"/>
    <w:rsid w:val="00331AC8"/>
    <w:rsid w:val="0033201A"/>
    <w:rsid w:val="003344FB"/>
    <w:rsid w:val="0033487B"/>
    <w:rsid w:val="0033548C"/>
    <w:rsid w:val="003355FA"/>
    <w:rsid w:val="0034056F"/>
    <w:rsid w:val="00344F64"/>
    <w:rsid w:val="00346F32"/>
    <w:rsid w:val="00350DAB"/>
    <w:rsid w:val="00351141"/>
    <w:rsid w:val="00352855"/>
    <w:rsid w:val="0035654D"/>
    <w:rsid w:val="003572DE"/>
    <w:rsid w:val="0035745F"/>
    <w:rsid w:val="00360122"/>
    <w:rsid w:val="00360184"/>
    <w:rsid w:val="00360240"/>
    <w:rsid w:val="0036239D"/>
    <w:rsid w:val="0036448F"/>
    <w:rsid w:val="003651CD"/>
    <w:rsid w:val="003652F7"/>
    <w:rsid w:val="003667C0"/>
    <w:rsid w:val="003676F3"/>
    <w:rsid w:val="00371325"/>
    <w:rsid w:val="00371D4E"/>
    <w:rsid w:val="00372056"/>
    <w:rsid w:val="00374419"/>
    <w:rsid w:val="00374A98"/>
    <w:rsid w:val="003755CD"/>
    <w:rsid w:val="00375701"/>
    <w:rsid w:val="0037590A"/>
    <w:rsid w:val="003759E4"/>
    <w:rsid w:val="0037616B"/>
    <w:rsid w:val="003762BA"/>
    <w:rsid w:val="00376FC6"/>
    <w:rsid w:val="00377396"/>
    <w:rsid w:val="00381B25"/>
    <w:rsid w:val="00382555"/>
    <w:rsid w:val="0038309E"/>
    <w:rsid w:val="00383D19"/>
    <w:rsid w:val="00390C48"/>
    <w:rsid w:val="00391F92"/>
    <w:rsid w:val="003922E0"/>
    <w:rsid w:val="00392DF1"/>
    <w:rsid w:val="003933E0"/>
    <w:rsid w:val="00396E28"/>
    <w:rsid w:val="00396F7A"/>
    <w:rsid w:val="003970EF"/>
    <w:rsid w:val="00397124"/>
    <w:rsid w:val="003972FD"/>
    <w:rsid w:val="003A13FA"/>
    <w:rsid w:val="003A204B"/>
    <w:rsid w:val="003A25DE"/>
    <w:rsid w:val="003A30FA"/>
    <w:rsid w:val="003A47D8"/>
    <w:rsid w:val="003A4C0E"/>
    <w:rsid w:val="003A744E"/>
    <w:rsid w:val="003A7E00"/>
    <w:rsid w:val="003B0531"/>
    <w:rsid w:val="003B0535"/>
    <w:rsid w:val="003B085C"/>
    <w:rsid w:val="003B1271"/>
    <w:rsid w:val="003B1410"/>
    <w:rsid w:val="003B1520"/>
    <w:rsid w:val="003B2B6A"/>
    <w:rsid w:val="003B31E8"/>
    <w:rsid w:val="003B3DBC"/>
    <w:rsid w:val="003B443B"/>
    <w:rsid w:val="003B5674"/>
    <w:rsid w:val="003B59D8"/>
    <w:rsid w:val="003B5F2E"/>
    <w:rsid w:val="003B7F98"/>
    <w:rsid w:val="003C05A8"/>
    <w:rsid w:val="003C1827"/>
    <w:rsid w:val="003C28DE"/>
    <w:rsid w:val="003C3113"/>
    <w:rsid w:val="003C338A"/>
    <w:rsid w:val="003C4C0E"/>
    <w:rsid w:val="003C4C90"/>
    <w:rsid w:val="003C4CBF"/>
    <w:rsid w:val="003C5267"/>
    <w:rsid w:val="003C591F"/>
    <w:rsid w:val="003C5C63"/>
    <w:rsid w:val="003C6787"/>
    <w:rsid w:val="003C6D95"/>
    <w:rsid w:val="003C7D0B"/>
    <w:rsid w:val="003D19BA"/>
    <w:rsid w:val="003D3235"/>
    <w:rsid w:val="003D4E47"/>
    <w:rsid w:val="003D4F88"/>
    <w:rsid w:val="003D5810"/>
    <w:rsid w:val="003D73E5"/>
    <w:rsid w:val="003D7ECD"/>
    <w:rsid w:val="003E0479"/>
    <w:rsid w:val="003E0879"/>
    <w:rsid w:val="003E2649"/>
    <w:rsid w:val="003E41FB"/>
    <w:rsid w:val="003E4A3F"/>
    <w:rsid w:val="003E5500"/>
    <w:rsid w:val="003E6718"/>
    <w:rsid w:val="003E71E6"/>
    <w:rsid w:val="003E724D"/>
    <w:rsid w:val="003E7B92"/>
    <w:rsid w:val="003F12A6"/>
    <w:rsid w:val="003F2AE7"/>
    <w:rsid w:val="003F4493"/>
    <w:rsid w:val="003F60F8"/>
    <w:rsid w:val="003F6AB8"/>
    <w:rsid w:val="003F74AB"/>
    <w:rsid w:val="003F7991"/>
    <w:rsid w:val="0040132B"/>
    <w:rsid w:val="00401359"/>
    <w:rsid w:val="004021D4"/>
    <w:rsid w:val="004026D8"/>
    <w:rsid w:val="0040274D"/>
    <w:rsid w:val="00402A9E"/>
    <w:rsid w:val="00405129"/>
    <w:rsid w:val="00406354"/>
    <w:rsid w:val="00406FA4"/>
    <w:rsid w:val="00407A22"/>
    <w:rsid w:val="00407A2A"/>
    <w:rsid w:val="004100CD"/>
    <w:rsid w:val="00411B40"/>
    <w:rsid w:val="00412350"/>
    <w:rsid w:val="004123B4"/>
    <w:rsid w:val="00414EFE"/>
    <w:rsid w:val="004157FE"/>
    <w:rsid w:val="00415AB7"/>
    <w:rsid w:val="00417BBE"/>
    <w:rsid w:val="00417FAD"/>
    <w:rsid w:val="00420C96"/>
    <w:rsid w:val="00420F8C"/>
    <w:rsid w:val="00421028"/>
    <w:rsid w:val="004225AF"/>
    <w:rsid w:val="00422F77"/>
    <w:rsid w:val="0042304F"/>
    <w:rsid w:val="0042337D"/>
    <w:rsid w:val="00424F7A"/>
    <w:rsid w:val="004252B2"/>
    <w:rsid w:val="00426783"/>
    <w:rsid w:val="00430359"/>
    <w:rsid w:val="00430BB2"/>
    <w:rsid w:val="00431921"/>
    <w:rsid w:val="004332A7"/>
    <w:rsid w:val="00435DCC"/>
    <w:rsid w:val="004366F3"/>
    <w:rsid w:val="00442070"/>
    <w:rsid w:val="004428BD"/>
    <w:rsid w:val="004449C4"/>
    <w:rsid w:val="00445ED1"/>
    <w:rsid w:val="00446464"/>
    <w:rsid w:val="004466C2"/>
    <w:rsid w:val="00446BBC"/>
    <w:rsid w:val="00446DBB"/>
    <w:rsid w:val="00446E77"/>
    <w:rsid w:val="00447B84"/>
    <w:rsid w:val="00447DCF"/>
    <w:rsid w:val="004516BD"/>
    <w:rsid w:val="00451A4F"/>
    <w:rsid w:val="00456DE2"/>
    <w:rsid w:val="004620EE"/>
    <w:rsid w:val="004627D8"/>
    <w:rsid w:val="004628AE"/>
    <w:rsid w:val="0046299C"/>
    <w:rsid w:val="00462E1E"/>
    <w:rsid w:val="00462E4E"/>
    <w:rsid w:val="0046400E"/>
    <w:rsid w:val="004649F9"/>
    <w:rsid w:val="00466815"/>
    <w:rsid w:val="00467A5F"/>
    <w:rsid w:val="00467E35"/>
    <w:rsid w:val="004713C9"/>
    <w:rsid w:val="00471516"/>
    <w:rsid w:val="00471C2C"/>
    <w:rsid w:val="00471DBD"/>
    <w:rsid w:val="00471F0E"/>
    <w:rsid w:val="00472707"/>
    <w:rsid w:val="00472D92"/>
    <w:rsid w:val="004742BE"/>
    <w:rsid w:val="00475879"/>
    <w:rsid w:val="00475D5D"/>
    <w:rsid w:val="004764A3"/>
    <w:rsid w:val="004767D0"/>
    <w:rsid w:val="00477167"/>
    <w:rsid w:val="00480EC7"/>
    <w:rsid w:val="0048178E"/>
    <w:rsid w:val="00481A84"/>
    <w:rsid w:val="004855CB"/>
    <w:rsid w:val="00485FD0"/>
    <w:rsid w:val="004878CC"/>
    <w:rsid w:val="00490B2F"/>
    <w:rsid w:val="00490B38"/>
    <w:rsid w:val="0049194D"/>
    <w:rsid w:val="0049358B"/>
    <w:rsid w:val="00494AA3"/>
    <w:rsid w:val="00495D9A"/>
    <w:rsid w:val="004963A6"/>
    <w:rsid w:val="004A006D"/>
    <w:rsid w:val="004A088E"/>
    <w:rsid w:val="004A16B2"/>
    <w:rsid w:val="004A2D6E"/>
    <w:rsid w:val="004A30A2"/>
    <w:rsid w:val="004A3322"/>
    <w:rsid w:val="004A3993"/>
    <w:rsid w:val="004A4D15"/>
    <w:rsid w:val="004A5544"/>
    <w:rsid w:val="004A6E7D"/>
    <w:rsid w:val="004B016C"/>
    <w:rsid w:val="004B0174"/>
    <w:rsid w:val="004B05C1"/>
    <w:rsid w:val="004B067D"/>
    <w:rsid w:val="004B1B64"/>
    <w:rsid w:val="004B5B03"/>
    <w:rsid w:val="004B6D1C"/>
    <w:rsid w:val="004B7A2C"/>
    <w:rsid w:val="004C0C9A"/>
    <w:rsid w:val="004C21EE"/>
    <w:rsid w:val="004C23DB"/>
    <w:rsid w:val="004C4276"/>
    <w:rsid w:val="004C5180"/>
    <w:rsid w:val="004D0675"/>
    <w:rsid w:val="004D0C60"/>
    <w:rsid w:val="004D28B3"/>
    <w:rsid w:val="004D4AEB"/>
    <w:rsid w:val="004D52DF"/>
    <w:rsid w:val="004D567F"/>
    <w:rsid w:val="004D67B7"/>
    <w:rsid w:val="004D6B6C"/>
    <w:rsid w:val="004D6DAE"/>
    <w:rsid w:val="004E2A67"/>
    <w:rsid w:val="004E3448"/>
    <w:rsid w:val="004E38B2"/>
    <w:rsid w:val="004E4972"/>
    <w:rsid w:val="004E682A"/>
    <w:rsid w:val="004E7A61"/>
    <w:rsid w:val="004F02CB"/>
    <w:rsid w:val="004F30DB"/>
    <w:rsid w:val="004F6648"/>
    <w:rsid w:val="0050030F"/>
    <w:rsid w:val="0050059A"/>
    <w:rsid w:val="00500860"/>
    <w:rsid w:val="00505849"/>
    <w:rsid w:val="00506DF7"/>
    <w:rsid w:val="005072B8"/>
    <w:rsid w:val="005101AF"/>
    <w:rsid w:val="00512B6C"/>
    <w:rsid w:val="00513EFF"/>
    <w:rsid w:val="00514A9F"/>
    <w:rsid w:val="00514B1A"/>
    <w:rsid w:val="00514CC6"/>
    <w:rsid w:val="0051705A"/>
    <w:rsid w:val="0051757F"/>
    <w:rsid w:val="00521147"/>
    <w:rsid w:val="00523371"/>
    <w:rsid w:val="00524850"/>
    <w:rsid w:val="00524D94"/>
    <w:rsid w:val="00525600"/>
    <w:rsid w:val="0052650D"/>
    <w:rsid w:val="005274DD"/>
    <w:rsid w:val="00527CC2"/>
    <w:rsid w:val="00531C72"/>
    <w:rsid w:val="00532969"/>
    <w:rsid w:val="00533245"/>
    <w:rsid w:val="00533B10"/>
    <w:rsid w:val="00533CFF"/>
    <w:rsid w:val="00534385"/>
    <w:rsid w:val="00541B17"/>
    <w:rsid w:val="00541BD4"/>
    <w:rsid w:val="00544207"/>
    <w:rsid w:val="00544BD9"/>
    <w:rsid w:val="00545115"/>
    <w:rsid w:val="005458A5"/>
    <w:rsid w:val="00546726"/>
    <w:rsid w:val="0054679C"/>
    <w:rsid w:val="0054685A"/>
    <w:rsid w:val="005468AA"/>
    <w:rsid w:val="005475CC"/>
    <w:rsid w:val="00550026"/>
    <w:rsid w:val="005520EA"/>
    <w:rsid w:val="00552B12"/>
    <w:rsid w:val="0055399B"/>
    <w:rsid w:val="00553EDC"/>
    <w:rsid w:val="005552F8"/>
    <w:rsid w:val="00555932"/>
    <w:rsid w:val="0055732A"/>
    <w:rsid w:val="005574BA"/>
    <w:rsid w:val="00557C40"/>
    <w:rsid w:val="00560222"/>
    <w:rsid w:val="005605D7"/>
    <w:rsid w:val="00561E36"/>
    <w:rsid w:val="00563FEC"/>
    <w:rsid w:val="00564687"/>
    <w:rsid w:val="0056478A"/>
    <w:rsid w:val="00564F10"/>
    <w:rsid w:val="0056587B"/>
    <w:rsid w:val="00566280"/>
    <w:rsid w:val="0056765B"/>
    <w:rsid w:val="005679C1"/>
    <w:rsid w:val="00572952"/>
    <w:rsid w:val="00572B07"/>
    <w:rsid w:val="00573670"/>
    <w:rsid w:val="00574CAA"/>
    <w:rsid w:val="00580DA7"/>
    <w:rsid w:val="00581AD6"/>
    <w:rsid w:val="00583FA6"/>
    <w:rsid w:val="0058426F"/>
    <w:rsid w:val="00584375"/>
    <w:rsid w:val="005857CE"/>
    <w:rsid w:val="00587C38"/>
    <w:rsid w:val="005914F2"/>
    <w:rsid w:val="00593800"/>
    <w:rsid w:val="005941FD"/>
    <w:rsid w:val="00595A21"/>
    <w:rsid w:val="005A1B73"/>
    <w:rsid w:val="005A2142"/>
    <w:rsid w:val="005A23C6"/>
    <w:rsid w:val="005A30F6"/>
    <w:rsid w:val="005A37E9"/>
    <w:rsid w:val="005A3FCD"/>
    <w:rsid w:val="005A404A"/>
    <w:rsid w:val="005A5278"/>
    <w:rsid w:val="005A551E"/>
    <w:rsid w:val="005A7084"/>
    <w:rsid w:val="005A70A5"/>
    <w:rsid w:val="005A7242"/>
    <w:rsid w:val="005B0665"/>
    <w:rsid w:val="005B08BC"/>
    <w:rsid w:val="005B2208"/>
    <w:rsid w:val="005B2CA4"/>
    <w:rsid w:val="005B3494"/>
    <w:rsid w:val="005B3CC1"/>
    <w:rsid w:val="005B4283"/>
    <w:rsid w:val="005B519E"/>
    <w:rsid w:val="005B51DF"/>
    <w:rsid w:val="005B5E80"/>
    <w:rsid w:val="005B77FF"/>
    <w:rsid w:val="005B78FF"/>
    <w:rsid w:val="005C0D64"/>
    <w:rsid w:val="005C1F5D"/>
    <w:rsid w:val="005C5012"/>
    <w:rsid w:val="005C7867"/>
    <w:rsid w:val="005D08EA"/>
    <w:rsid w:val="005D1145"/>
    <w:rsid w:val="005D241A"/>
    <w:rsid w:val="005D5082"/>
    <w:rsid w:val="005D7A7F"/>
    <w:rsid w:val="005E045A"/>
    <w:rsid w:val="005E0587"/>
    <w:rsid w:val="005E2C89"/>
    <w:rsid w:val="005E4104"/>
    <w:rsid w:val="005E410C"/>
    <w:rsid w:val="005E4EFC"/>
    <w:rsid w:val="005E7980"/>
    <w:rsid w:val="005F039E"/>
    <w:rsid w:val="005F0E4E"/>
    <w:rsid w:val="005F3048"/>
    <w:rsid w:val="005F33E1"/>
    <w:rsid w:val="005F35A0"/>
    <w:rsid w:val="005F399D"/>
    <w:rsid w:val="005F5A94"/>
    <w:rsid w:val="005F5F58"/>
    <w:rsid w:val="005F639E"/>
    <w:rsid w:val="005F676E"/>
    <w:rsid w:val="005F6B9C"/>
    <w:rsid w:val="005F6E6B"/>
    <w:rsid w:val="005F6F22"/>
    <w:rsid w:val="00600C87"/>
    <w:rsid w:val="00601FD1"/>
    <w:rsid w:val="006028C6"/>
    <w:rsid w:val="00603172"/>
    <w:rsid w:val="006031D0"/>
    <w:rsid w:val="00603486"/>
    <w:rsid w:val="00604440"/>
    <w:rsid w:val="00605999"/>
    <w:rsid w:val="00605C34"/>
    <w:rsid w:val="00605CF4"/>
    <w:rsid w:val="00607DA4"/>
    <w:rsid w:val="00610553"/>
    <w:rsid w:val="00610E9B"/>
    <w:rsid w:val="0061177B"/>
    <w:rsid w:val="006120A2"/>
    <w:rsid w:val="0061240F"/>
    <w:rsid w:val="006124C4"/>
    <w:rsid w:val="006130E4"/>
    <w:rsid w:val="00616736"/>
    <w:rsid w:val="00616843"/>
    <w:rsid w:val="00616E06"/>
    <w:rsid w:val="006176F2"/>
    <w:rsid w:val="00617DC4"/>
    <w:rsid w:val="00623EA8"/>
    <w:rsid w:val="006251A1"/>
    <w:rsid w:val="00627B6B"/>
    <w:rsid w:val="0063070F"/>
    <w:rsid w:val="00631FE2"/>
    <w:rsid w:val="0063377E"/>
    <w:rsid w:val="00636F2E"/>
    <w:rsid w:val="00641068"/>
    <w:rsid w:val="00641770"/>
    <w:rsid w:val="00641F83"/>
    <w:rsid w:val="00643630"/>
    <w:rsid w:val="00646658"/>
    <w:rsid w:val="00646B01"/>
    <w:rsid w:val="00647821"/>
    <w:rsid w:val="00650391"/>
    <w:rsid w:val="00651F3B"/>
    <w:rsid w:val="0065218B"/>
    <w:rsid w:val="00652773"/>
    <w:rsid w:val="00653315"/>
    <w:rsid w:val="006551A0"/>
    <w:rsid w:val="00655B3F"/>
    <w:rsid w:val="006616EE"/>
    <w:rsid w:val="00661A7C"/>
    <w:rsid w:val="00663B91"/>
    <w:rsid w:val="00663EAE"/>
    <w:rsid w:val="006642FA"/>
    <w:rsid w:val="0066498B"/>
    <w:rsid w:val="00666050"/>
    <w:rsid w:val="00671D30"/>
    <w:rsid w:val="00672484"/>
    <w:rsid w:val="00672856"/>
    <w:rsid w:val="00673ECD"/>
    <w:rsid w:val="0067526C"/>
    <w:rsid w:val="00676DA7"/>
    <w:rsid w:val="006777C7"/>
    <w:rsid w:val="00677B54"/>
    <w:rsid w:val="00680BCC"/>
    <w:rsid w:val="00680C02"/>
    <w:rsid w:val="00680F22"/>
    <w:rsid w:val="006814C7"/>
    <w:rsid w:val="00682861"/>
    <w:rsid w:val="00683FF2"/>
    <w:rsid w:val="006868A0"/>
    <w:rsid w:val="00687774"/>
    <w:rsid w:val="00687B01"/>
    <w:rsid w:val="00690C7A"/>
    <w:rsid w:val="0069289D"/>
    <w:rsid w:val="00692E5A"/>
    <w:rsid w:val="006940BE"/>
    <w:rsid w:val="00694124"/>
    <w:rsid w:val="006961F2"/>
    <w:rsid w:val="00696AE3"/>
    <w:rsid w:val="00697226"/>
    <w:rsid w:val="006A03DD"/>
    <w:rsid w:val="006A04F8"/>
    <w:rsid w:val="006A2D76"/>
    <w:rsid w:val="006A3D1B"/>
    <w:rsid w:val="006A54F5"/>
    <w:rsid w:val="006A6EBC"/>
    <w:rsid w:val="006A7411"/>
    <w:rsid w:val="006B13E8"/>
    <w:rsid w:val="006B2761"/>
    <w:rsid w:val="006B423F"/>
    <w:rsid w:val="006B5020"/>
    <w:rsid w:val="006B5501"/>
    <w:rsid w:val="006B697D"/>
    <w:rsid w:val="006B7971"/>
    <w:rsid w:val="006B79C5"/>
    <w:rsid w:val="006C0117"/>
    <w:rsid w:val="006C3886"/>
    <w:rsid w:val="006C6994"/>
    <w:rsid w:val="006D0A33"/>
    <w:rsid w:val="006D4450"/>
    <w:rsid w:val="006D4FD1"/>
    <w:rsid w:val="006D5D8C"/>
    <w:rsid w:val="006D69F7"/>
    <w:rsid w:val="006E0973"/>
    <w:rsid w:val="006E0C5A"/>
    <w:rsid w:val="006E0DF1"/>
    <w:rsid w:val="006E14CC"/>
    <w:rsid w:val="006E2EFC"/>
    <w:rsid w:val="006E3206"/>
    <w:rsid w:val="006E360F"/>
    <w:rsid w:val="006E4454"/>
    <w:rsid w:val="006E511C"/>
    <w:rsid w:val="006E635E"/>
    <w:rsid w:val="006E7BB1"/>
    <w:rsid w:val="006F24D4"/>
    <w:rsid w:val="006F3738"/>
    <w:rsid w:val="006F6212"/>
    <w:rsid w:val="006F6CE7"/>
    <w:rsid w:val="00700DD7"/>
    <w:rsid w:val="007011AF"/>
    <w:rsid w:val="007022A4"/>
    <w:rsid w:val="0070366F"/>
    <w:rsid w:val="007050AB"/>
    <w:rsid w:val="00705BB7"/>
    <w:rsid w:val="0070679A"/>
    <w:rsid w:val="00707C14"/>
    <w:rsid w:val="00711D92"/>
    <w:rsid w:val="00711F4D"/>
    <w:rsid w:val="00712577"/>
    <w:rsid w:val="0071289E"/>
    <w:rsid w:val="0071386C"/>
    <w:rsid w:val="00713A8C"/>
    <w:rsid w:val="0071587D"/>
    <w:rsid w:val="00717125"/>
    <w:rsid w:val="007226F5"/>
    <w:rsid w:val="007231DC"/>
    <w:rsid w:val="00724140"/>
    <w:rsid w:val="0072458B"/>
    <w:rsid w:val="00724D88"/>
    <w:rsid w:val="007251A4"/>
    <w:rsid w:val="00726166"/>
    <w:rsid w:val="00726253"/>
    <w:rsid w:val="00727AFC"/>
    <w:rsid w:val="00730561"/>
    <w:rsid w:val="00732AD0"/>
    <w:rsid w:val="00733FAE"/>
    <w:rsid w:val="007365B6"/>
    <w:rsid w:val="00737070"/>
    <w:rsid w:val="00740B0A"/>
    <w:rsid w:val="00740CAF"/>
    <w:rsid w:val="0074136E"/>
    <w:rsid w:val="0074199E"/>
    <w:rsid w:val="00741EFB"/>
    <w:rsid w:val="00742A00"/>
    <w:rsid w:val="007431E3"/>
    <w:rsid w:val="0074471F"/>
    <w:rsid w:val="00745349"/>
    <w:rsid w:val="00746416"/>
    <w:rsid w:val="00750356"/>
    <w:rsid w:val="00750B0F"/>
    <w:rsid w:val="007510D4"/>
    <w:rsid w:val="00752181"/>
    <w:rsid w:val="007522F6"/>
    <w:rsid w:val="00753A1F"/>
    <w:rsid w:val="00754413"/>
    <w:rsid w:val="0075529E"/>
    <w:rsid w:val="007604BB"/>
    <w:rsid w:val="007619D2"/>
    <w:rsid w:val="00767440"/>
    <w:rsid w:val="00770376"/>
    <w:rsid w:val="007714FC"/>
    <w:rsid w:val="007719CF"/>
    <w:rsid w:val="00775876"/>
    <w:rsid w:val="00775FF7"/>
    <w:rsid w:val="00776C6C"/>
    <w:rsid w:val="00776DCC"/>
    <w:rsid w:val="007779AA"/>
    <w:rsid w:val="00780C87"/>
    <w:rsid w:val="00781A49"/>
    <w:rsid w:val="007837CB"/>
    <w:rsid w:val="00784B29"/>
    <w:rsid w:val="00784D03"/>
    <w:rsid w:val="007850B5"/>
    <w:rsid w:val="00785397"/>
    <w:rsid w:val="00785559"/>
    <w:rsid w:val="007859E4"/>
    <w:rsid w:val="00785DC1"/>
    <w:rsid w:val="00786C0C"/>
    <w:rsid w:val="00786DF1"/>
    <w:rsid w:val="00787215"/>
    <w:rsid w:val="00790351"/>
    <w:rsid w:val="007921CE"/>
    <w:rsid w:val="00792B07"/>
    <w:rsid w:val="00793270"/>
    <w:rsid w:val="00793853"/>
    <w:rsid w:val="007942B4"/>
    <w:rsid w:val="00794FCB"/>
    <w:rsid w:val="00796BC8"/>
    <w:rsid w:val="007A073C"/>
    <w:rsid w:val="007A1B09"/>
    <w:rsid w:val="007A1FB0"/>
    <w:rsid w:val="007A2094"/>
    <w:rsid w:val="007A33B1"/>
    <w:rsid w:val="007A3A26"/>
    <w:rsid w:val="007A462E"/>
    <w:rsid w:val="007A4D7D"/>
    <w:rsid w:val="007A5189"/>
    <w:rsid w:val="007A5A1B"/>
    <w:rsid w:val="007A5B51"/>
    <w:rsid w:val="007A5FA4"/>
    <w:rsid w:val="007A6CC5"/>
    <w:rsid w:val="007B1C2B"/>
    <w:rsid w:val="007B212C"/>
    <w:rsid w:val="007B245D"/>
    <w:rsid w:val="007B2F03"/>
    <w:rsid w:val="007B3463"/>
    <w:rsid w:val="007B3CC4"/>
    <w:rsid w:val="007B404D"/>
    <w:rsid w:val="007B4282"/>
    <w:rsid w:val="007B4452"/>
    <w:rsid w:val="007B4D19"/>
    <w:rsid w:val="007B5C86"/>
    <w:rsid w:val="007B7531"/>
    <w:rsid w:val="007B7BA6"/>
    <w:rsid w:val="007C0DDF"/>
    <w:rsid w:val="007C23BB"/>
    <w:rsid w:val="007C31D8"/>
    <w:rsid w:val="007C4003"/>
    <w:rsid w:val="007C6988"/>
    <w:rsid w:val="007C717F"/>
    <w:rsid w:val="007C7550"/>
    <w:rsid w:val="007D150D"/>
    <w:rsid w:val="007D1AEE"/>
    <w:rsid w:val="007D2B34"/>
    <w:rsid w:val="007D60A2"/>
    <w:rsid w:val="007D7444"/>
    <w:rsid w:val="007D7759"/>
    <w:rsid w:val="007D7C1C"/>
    <w:rsid w:val="007E143C"/>
    <w:rsid w:val="007E2C2C"/>
    <w:rsid w:val="007E3ADA"/>
    <w:rsid w:val="007E3E8E"/>
    <w:rsid w:val="007E4D21"/>
    <w:rsid w:val="007E6F92"/>
    <w:rsid w:val="007E7D37"/>
    <w:rsid w:val="007F064A"/>
    <w:rsid w:val="007F0E9B"/>
    <w:rsid w:val="007F26A7"/>
    <w:rsid w:val="007F3242"/>
    <w:rsid w:val="007F3E23"/>
    <w:rsid w:val="007F43CB"/>
    <w:rsid w:val="007F448C"/>
    <w:rsid w:val="007F5DCE"/>
    <w:rsid w:val="007F6A31"/>
    <w:rsid w:val="00800C00"/>
    <w:rsid w:val="00800C9C"/>
    <w:rsid w:val="0080288B"/>
    <w:rsid w:val="008031C4"/>
    <w:rsid w:val="0080339D"/>
    <w:rsid w:val="0080456C"/>
    <w:rsid w:val="008047E8"/>
    <w:rsid w:val="00805932"/>
    <w:rsid w:val="00805D30"/>
    <w:rsid w:val="00806958"/>
    <w:rsid w:val="00806C85"/>
    <w:rsid w:val="00807F89"/>
    <w:rsid w:val="00810E1D"/>
    <w:rsid w:val="00813B83"/>
    <w:rsid w:val="00815554"/>
    <w:rsid w:val="00815845"/>
    <w:rsid w:val="00815D6A"/>
    <w:rsid w:val="00815F97"/>
    <w:rsid w:val="00816416"/>
    <w:rsid w:val="00817133"/>
    <w:rsid w:val="00820A3C"/>
    <w:rsid w:val="008213D4"/>
    <w:rsid w:val="00821A09"/>
    <w:rsid w:val="00822B36"/>
    <w:rsid w:val="00822D2B"/>
    <w:rsid w:val="00826ACC"/>
    <w:rsid w:val="0082704A"/>
    <w:rsid w:val="00834355"/>
    <w:rsid w:val="00834DE0"/>
    <w:rsid w:val="00835BB2"/>
    <w:rsid w:val="008373D6"/>
    <w:rsid w:val="00837953"/>
    <w:rsid w:val="00837971"/>
    <w:rsid w:val="00837B09"/>
    <w:rsid w:val="00842A56"/>
    <w:rsid w:val="00842C51"/>
    <w:rsid w:val="00843034"/>
    <w:rsid w:val="008437D5"/>
    <w:rsid w:val="00843E8E"/>
    <w:rsid w:val="00843FAA"/>
    <w:rsid w:val="008466B3"/>
    <w:rsid w:val="00847514"/>
    <w:rsid w:val="00847E27"/>
    <w:rsid w:val="008502AF"/>
    <w:rsid w:val="008511A9"/>
    <w:rsid w:val="00853D22"/>
    <w:rsid w:val="008559A3"/>
    <w:rsid w:val="00855FE0"/>
    <w:rsid w:val="00856438"/>
    <w:rsid w:val="00857C59"/>
    <w:rsid w:val="00860FF7"/>
    <w:rsid w:val="0086136C"/>
    <w:rsid w:val="00862AE1"/>
    <w:rsid w:val="00863E5E"/>
    <w:rsid w:val="00865A05"/>
    <w:rsid w:val="008674E0"/>
    <w:rsid w:val="00870088"/>
    <w:rsid w:val="008700CD"/>
    <w:rsid w:val="0087020E"/>
    <w:rsid w:val="008710AF"/>
    <w:rsid w:val="00871355"/>
    <w:rsid w:val="0087185B"/>
    <w:rsid w:val="00876AC6"/>
    <w:rsid w:val="0087741A"/>
    <w:rsid w:val="00880993"/>
    <w:rsid w:val="00880B00"/>
    <w:rsid w:val="00881200"/>
    <w:rsid w:val="00881240"/>
    <w:rsid w:val="00881336"/>
    <w:rsid w:val="00881E51"/>
    <w:rsid w:val="00883722"/>
    <w:rsid w:val="00884604"/>
    <w:rsid w:val="00884C38"/>
    <w:rsid w:val="00885C6B"/>
    <w:rsid w:val="008900E5"/>
    <w:rsid w:val="0089036E"/>
    <w:rsid w:val="00893A32"/>
    <w:rsid w:val="00894863"/>
    <w:rsid w:val="00895367"/>
    <w:rsid w:val="008965B2"/>
    <w:rsid w:val="00896ABC"/>
    <w:rsid w:val="0089725C"/>
    <w:rsid w:val="008A0447"/>
    <w:rsid w:val="008A076E"/>
    <w:rsid w:val="008A0ACB"/>
    <w:rsid w:val="008A0DFF"/>
    <w:rsid w:val="008A1F22"/>
    <w:rsid w:val="008A25DE"/>
    <w:rsid w:val="008A2E69"/>
    <w:rsid w:val="008A3F66"/>
    <w:rsid w:val="008A5DDB"/>
    <w:rsid w:val="008A6CD7"/>
    <w:rsid w:val="008A7545"/>
    <w:rsid w:val="008B0063"/>
    <w:rsid w:val="008B06C7"/>
    <w:rsid w:val="008B1D63"/>
    <w:rsid w:val="008B696D"/>
    <w:rsid w:val="008C2315"/>
    <w:rsid w:val="008C25C8"/>
    <w:rsid w:val="008C4048"/>
    <w:rsid w:val="008C66F3"/>
    <w:rsid w:val="008C6AD5"/>
    <w:rsid w:val="008C6B72"/>
    <w:rsid w:val="008C6C72"/>
    <w:rsid w:val="008C7683"/>
    <w:rsid w:val="008D0BB5"/>
    <w:rsid w:val="008D1423"/>
    <w:rsid w:val="008D1E2C"/>
    <w:rsid w:val="008D1FAC"/>
    <w:rsid w:val="008D2022"/>
    <w:rsid w:val="008D2A24"/>
    <w:rsid w:val="008D2B36"/>
    <w:rsid w:val="008D48F1"/>
    <w:rsid w:val="008D6067"/>
    <w:rsid w:val="008D6BE5"/>
    <w:rsid w:val="008E0330"/>
    <w:rsid w:val="008E0435"/>
    <w:rsid w:val="008E0D1A"/>
    <w:rsid w:val="008E7EBA"/>
    <w:rsid w:val="008F0BAF"/>
    <w:rsid w:val="008F0F45"/>
    <w:rsid w:val="008F131E"/>
    <w:rsid w:val="008F1B6D"/>
    <w:rsid w:val="008F1C7C"/>
    <w:rsid w:val="008F22E0"/>
    <w:rsid w:val="008F246F"/>
    <w:rsid w:val="008F2840"/>
    <w:rsid w:val="008F4E7D"/>
    <w:rsid w:val="008F5824"/>
    <w:rsid w:val="008F666A"/>
    <w:rsid w:val="008F6C15"/>
    <w:rsid w:val="008F7456"/>
    <w:rsid w:val="008F74A2"/>
    <w:rsid w:val="008F7584"/>
    <w:rsid w:val="0090014E"/>
    <w:rsid w:val="00901794"/>
    <w:rsid w:val="009036E6"/>
    <w:rsid w:val="00904B1C"/>
    <w:rsid w:val="00904FA8"/>
    <w:rsid w:val="009050AA"/>
    <w:rsid w:val="009052CA"/>
    <w:rsid w:val="00905810"/>
    <w:rsid w:val="0090643F"/>
    <w:rsid w:val="009076D8"/>
    <w:rsid w:val="00910470"/>
    <w:rsid w:val="00911044"/>
    <w:rsid w:val="00912E24"/>
    <w:rsid w:val="0091335C"/>
    <w:rsid w:val="00914112"/>
    <w:rsid w:val="009145C9"/>
    <w:rsid w:val="00914EB8"/>
    <w:rsid w:val="00915CAB"/>
    <w:rsid w:val="00915EB5"/>
    <w:rsid w:val="00920C09"/>
    <w:rsid w:val="00922A56"/>
    <w:rsid w:val="0092343D"/>
    <w:rsid w:val="0092447B"/>
    <w:rsid w:val="00924CF9"/>
    <w:rsid w:val="00924D7D"/>
    <w:rsid w:val="00925DD4"/>
    <w:rsid w:val="0093085A"/>
    <w:rsid w:val="00930F2E"/>
    <w:rsid w:val="009312F5"/>
    <w:rsid w:val="009317F6"/>
    <w:rsid w:val="0093283C"/>
    <w:rsid w:val="0093650C"/>
    <w:rsid w:val="00936939"/>
    <w:rsid w:val="0093727C"/>
    <w:rsid w:val="009373A3"/>
    <w:rsid w:val="00941D06"/>
    <w:rsid w:val="009420D6"/>
    <w:rsid w:val="009426D2"/>
    <w:rsid w:val="00943DFE"/>
    <w:rsid w:val="0094410E"/>
    <w:rsid w:val="00944572"/>
    <w:rsid w:val="00946BF0"/>
    <w:rsid w:val="00947602"/>
    <w:rsid w:val="00947DBD"/>
    <w:rsid w:val="00950730"/>
    <w:rsid w:val="009511B7"/>
    <w:rsid w:val="00951FC4"/>
    <w:rsid w:val="00953BD2"/>
    <w:rsid w:val="00954A4E"/>
    <w:rsid w:val="00954C1E"/>
    <w:rsid w:val="00954FD0"/>
    <w:rsid w:val="009562B8"/>
    <w:rsid w:val="00962398"/>
    <w:rsid w:val="00962E55"/>
    <w:rsid w:val="00962EDA"/>
    <w:rsid w:val="00964A52"/>
    <w:rsid w:val="00964A6E"/>
    <w:rsid w:val="009653A0"/>
    <w:rsid w:val="009659C3"/>
    <w:rsid w:val="00965CA4"/>
    <w:rsid w:val="00966D7F"/>
    <w:rsid w:val="009702A0"/>
    <w:rsid w:val="00971E86"/>
    <w:rsid w:val="00972D7A"/>
    <w:rsid w:val="0097346C"/>
    <w:rsid w:val="009747D7"/>
    <w:rsid w:val="0097491E"/>
    <w:rsid w:val="00975980"/>
    <w:rsid w:val="009762F3"/>
    <w:rsid w:val="00977D1C"/>
    <w:rsid w:val="009809A8"/>
    <w:rsid w:val="00980D04"/>
    <w:rsid w:val="00982035"/>
    <w:rsid w:val="00982755"/>
    <w:rsid w:val="00983828"/>
    <w:rsid w:val="00983EF0"/>
    <w:rsid w:val="00985048"/>
    <w:rsid w:val="00986713"/>
    <w:rsid w:val="0098723D"/>
    <w:rsid w:val="00987645"/>
    <w:rsid w:val="00987ABB"/>
    <w:rsid w:val="00992CA5"/>
    <w:rsid w:val="0099304B"/>
    <w:rsid w:val="0099593B"/>
    <w:rsid w:val="00996152"/>
    <w:rsid w:val="0099634B"/>
    <w:rsid w:val="009963A1"/>
    <w:rsid w:val="009963EE"/>
    <w:rsid w:val="00997D07"/>
    <w:rsid w:val="00997D30"/>
    <w:rsid w:val="009A0B56"/>
    <w:rsid w:val="009A155F"/>
    <w:rsid w:val="009A21CA"/>
    <w:rsid w:val="009A2616"/>
    <w:rsid w:val="009A2977"/>
    <w:rsid w:val="009A29DB"/>
    <w:rsid w:val="009A4C7A"/>
    <w:rsid w:val="009A5C3D"/>
    <w:rsid w:val="009A7CEC"/>
    <w:rsid w:val="009B0095"/>
    <w:rsid w:val="009B1AAA"/>
    <w:rsid w:val="009B2D47"/>
    <w:rsid w:val="009B339E"/>
    <w:rsid w:val="009B4281"/>
    <w:rsid w:val="009B5389"/>
    <w:rsid w:val="009B74E0"/>
    <w:rsid w:val="009B7CEC"/>
    <w:rsid w:val="009C0644"/>
    <w:rsid w:val="009C2DD9"/>
    <w:rsid w:val="009C2FC2"/>
    <w:rsid w:val="009C3A6B"/>
    <w:rsid w:val="009C431A"/>
    <w:rsid w:val="009C48F0"/>
    <w:rsid w:val="009C52BF"/>
    <w:rsid w:val="009D154A"/>
    <w:rsid w:val="009D2FA6"/>
    <w:rsid w:val="009D30E2"/>
    <w:rsid w:val="009D4149"/>
    <w:rsid w:val="009D5BF6"/>
    <w:rsid w:val="009D720A"/>
    <w:rsid w:val="009D7CA5"/>
    <w:rsid w:val="009D7FF0"/>
    <w:rsid w:val="009E0A41"/>
    <w:rsid w:val="009E0F5E"/>
    <w:rsid w:val="009E1ED9"/>
    <w:rsid w:val="009E2204"/>
    <w:rsid w:val="009E27D8"/>
    <w:rsid w:val="009E3264"/>
    <w:rsid w:val="009E32C7"/>
    <w:rsid w:val="009E3737"/>
    <w:rsid w:val="009E3E94"/>
    <w:rsid w:val="009E4EA9"/>
    <w:rsid w:val="009E561C"/>
    <w:rsid w:val="009F0BD5"/>
    <w:rsid w:val="009F2E19"/>
    <w:rsid w:val="009F2E6D"/>
    <w:rsid w:val="009F2F53"/>
    <w:rsid w:val="009F544A"/>
    <w:rsid w:val="009F5C0F"/>
    <w:rsid w:val="00A00849"/>
    <w:rsid w:val="00A01590"/>
    <w:rsid w:val="00A019A0"/>
    <w:rsid w:val="00A020E3"/>
    <w:rsid w:val="00A02BE7"/>
    <w:rsid w:val="00A0370B"/>
    <w:rsid w:val="00A03803"/>
    <w:rsid w:val="00A06702"/>
    <w:rsid w:val="00A067F2"/>
    <w:rsid w:val="00A06B3E"/>
    <w:rsid w:val="00A0724A"/>
    <w:rsid w:val="00A1004D"/>
    <w:rsid w:val="00A10CBA"/>
    <w:rsid w:val="00A13764"/>
    <w:rsid w:val="00A14AE7"/>
    <w:rsid w:val="00A14D00"/>
    <w:rsid w:val="00A15416"/>
    <w:rsid w:val="00A15684"/>
    <w:rsid w:val="00A15C17"/>
    <w:rsid w:val="00A16078"/>
    <w:rsid w:val="00A16C00"/>
    <w:rsid w:val="00A1783D"/>
    <w:rsid w:val="00A206CA"/>
    <w:rsid w:val="00A22282"/>
    <w:rsid w:val="00A2376E"/>
    <w:rsid w:val="00A244EE"/>
    <w:rsid w:val="00A253EE"/>
    <w:rsid w:val="00A2610B"/>
    <w:rsid w:val="00A27B50"/>
    <w:rsid w:val="00A27B5D"/>
    <w:rsid w:val="00A310AD"/>
    <w:rsid w:val="00A311CA"/>
    <w:rsid w:val="00A33D79"/>
    <w:rsid w:val="00A35388"/>
    <w:rsid w:val="00A3687E"/>
    <w:rsid w:val="00A41CD4"/>
    <w:rsid w:val="00A42002"/>
    <w:rsid w:val="00A43A37"/>
    <w:rsid w:val="00A44C86"/>
    <w:rsid w:val="00A45B20"/>
    <w:rsid w:val="00A50A1B"/>
    <w:rsid w:val="00A516F4"/>
    <w:rsid w:val="00A52D68"/>
    <w:rsid w:val="00A52EAF"/>
    <w:rsid w:val="00A54423"/>
    <w:rsid w:val="00A5545C"/>
    <w:rsid w:val="00A56151"/>
    <w:rsid w:val="00A56493"/>
    <w:rsid w:val="00A56A3B"/>
    <w:rsid w:val="00A57C5B"/>
    <w:rsid w:val="00A611A5"/>
    <w:rsid w:val="00A6209B"/>
    <w:rsid w:val="00A6243F"/>
    <w:rsid w:val="00A6380F"/>
    <w:rsid w:val="00A63DBB"/>
    <w:rsid w:val="00A67EA4"/>
    <w:rsid w:val="00A74002"/>
    <w:rsid w:val="00A745F3"/>
    <w:rsid w:val="00A74637"/>
    <w:rsid w:val="00A74810"/>
    <w:rsid w:val="00A757C4"/>
    <w:rsid w:val="00A775AA"/>
    <w:rsid w:val="00A77CA6"/>
    <w:rsid w:val="00A77D08"/>
    <w:rsid w:val="00A80D6F"/>
    <w:rsid w:val="00A80E49"/>
    <w:rsid w:val="00A81B35"/>
    <w:rsid w:val="00A81C6E"/>
    <w:rsid w:val="00A82445"/>
    <w:rsid w:val="00A82E65"/>
    <w:rsid w:val="00A837A8"/>
    <w:rsid w:val="00A849F3"/>
    <w:rsid w:val="00A84EBD"/>
    <w:rsid w:val="00A84F2F"/>
    <w:rsid w:val="00A850C5"/>
    <w:rsid w:val="00A858B7"/>
    <w:rsid w:val="00A863EA"/>
    <w:rsid w:val="00A86E6D"/>
    <w:rsid w:val="00A873EB"/>
    <w:rsid w:val="00A874C8"/>
    <w:rsid w:val="00A90783"/>
    <w:rsid w:val="00A909E3"/>
    <w:rsid w:val="00A92A2B"/>
    <w:rsid w:val="00A93696"/>
    <w:rsid w:val="00A93FF3"/>
    <w:rsid w:val="00A94C70"/>
    <w:rsid w:val="00A95577"/>
    <w:rsid w:val="00A95622"/>
    <w:rsid w:val="00A96611"/>
    <w:rsid w:val="00A96BCB"/>
    <w:rsid w:val="00A97A2A"/>
    <w:rsid w:val="00AA0C13"/>
    <w:rsid w:val="00AA15ED"/>
    <w:rsid w:val="00AA35DD"/>
    <w:rsid w:val="00AA508C"/>
    <w:rsid w:val="00AA6136"/>
    <w:rsid w:val="00AB01B0"/>
    <w:rsid w:val="00AB103C"/>
    <w:rsid w:val="00AB1505"/>
    <w:rsid w:val="00AB17A8"/>
    <w:rsid w:val="00AB220B"/>
    <w:rsid w:val="00AB2F9D"/>
    <w:rsid w:val="00AB3608"/>
    <w:rsid w:val="00AB39EF"/>
    <w:rsid w:val="00AB5649"/>
    <w:rsid w:val="00AB595B"/>
    <w:rsid w:val="00AB610D"/>
    <w:rsid w:val="00AB6C7E"/>
    <w:rsid w:val="00AB7535"/>
    <w:rsid w:val="00AC0854"/>
    <w:rsid w:val="00AC1D0E"/>
    <w:rsid w:val="00AC3037"/>
    <w:rsid w:val="00AC3379"/>
    <w:rsid w:val="00AC46B1"/>
    <w:rsid w:val="00AC4D36"/>
    <w:rsid w:val="00AC5433"/>
    <w:rsid w:val="00AC55BF"/>
    <w:rsid w:val="00AC60BD"/>
    <w:rsid w:val="00AC7775"/>
    <w:rsid w:val="00AC7FBE"/>
    <w:rsid w:val="00AD04A9"/>
    <w:rsid w:val="00AD22CC"/>
    <w:rsid w:val="00AD4550"/>
    <w:rsid w:val="00AD544A"/>
    <w:rsid w:val="00AD558A"/>
    <w:rsid w:val="00AD7CB2"/>
    <w:rsid w:val="00AD7DCD"/>
    <w:rsid w:val="00AE0AA7"/>
    <w:rsid w:val="00AE0BC7"/>
    <w:rsid w:val="00AE25A0"/>
    <w:rsid w:val="00AE2D70"/>
    <w:rsid w:val="00AE38A7"/>
    <w:rsid w:val="00AE3D71"/>
    <w:rsid w:val="00AE454F"/>
    <w:rsid w:val="00AE49E6"/>
    <w:rsid w:val="00AE4FD6"/>
    <w:rsid w:val="00AE547B"/>
    <w:rsid w:val="00AE665E"/>
    <w:rsid w:val="00AE71B7"/>
    <w:rsid w:val="00AE7E5A"/>
    <w:rsid w:val="00AF2985"/>
    <w:rsid w:val="00AF2CF8"/>
    <w:rsid w:val="00AF3E3B"/>
    <w:rsid w:val="00AF448B"/>
    <w:rsid w:val="00AF5896"/>
    <w:rsid w:val="00AF7CE4"/>
    <w:rsid w:val="00B00166"/>
    <w:rsid w:val="00B004AE"/>
    <w:rsid w:val="00B00786"/>
    <w:rsid w:val="00B01642"/>
    <w:rsid w:val="00B04DF1"/>
    <w:rsid w:val="00B05389"/>
    <w:rsid w:val="00B07FEE"/>
    <w:rsid w:val="00B14292"/>
    <w:rsid w:val="00B145D0"/>
    <w:rsid w:val="00B14B7E"/>
    <w:rsid w:val="00B14D98"/>
    <w:rsid w:val="00B15CD5"/>
    <w:rsid w:val="00B15F70"/>
    <w:rsid w:val="00B15F98"/>
    <w:rsid w:val="00B161FD"/>
    <w:rsid w:val="00B1687E"/>
    <w:rsid w:val="00B20654"/>
    <w:rsid w:val="00B217B9"/>
    <w:rsid w:val="00B21DAD"/>
    <w:rsid w:val="00B229B6"/>
    <w:rsid w:val="00B243AE"/>
    <w:rsid w:val="00B244AE"/>
    <w:rsid w:val="00B25548"/>
    <w:rsid w:val="00B25966"/>
    <w:rsid w:val="00B26088"/>
    <w:rsid w:val="00B2734B"/>
    <w:rsid w:val="00B314A6"/>
    <w:rsid w:val="00B324C0"/>
    <w:rsid w:val="00B33F49"/>
    <w:rsid w:val="00B366EA"/>
    <w:rsid w:val="00B36CF8"/>
    <w:rsid w:val="00B36D59"/>
    <w:rsid w:val="00B37831"/>
    <w:rsid w:val="00B40323"/>
    <w:rsid w:val="00B40587"/>
    <w:rsid w:val="00B41D95"/>
    <w:rsid w:val="00B43413"/>
    <w:rsid w:val="00B44E7F"/>
    <w:rsid w:val="00B46BB0"/>
    <w:rsid w:val="00B509BD"/>
    <w:rsid w:val="00B51098"/>
    <w:rsid w:val="00B52768"/>
    <w:rsid w:val="00B53F5A"/>
    <w:rsid w:val="00B543AD"/>
    <w:rsid w:val="00B55D1F"/>
    <w:rsid w:val="00B5623E"/>
    <w:rsid w:val="00B5757C"/>
    <w:rsid w:val="00B57A1A"/>
    <w:rsid w:val="00B60423"/>
    <w:rsid w:val="00B60677"/>
    <w:rsid w:val="00B63618"/>
    <w:rsid w:val="00B6554C"/>
    <w:rsid w:val="00B66D5D"/>
    <w:rsid w:val="00B72005"/>
    <w:rsid w:val="00B72371"/>
    <w:rsid w:val="00B72DFE"/>
    <w:rsid w:val="00B75A9F"/>
    <w:rsid w:val="00B7678D"/>
    <w:rsid w:val="00B767C7"/>
    <w:rsid w:val="00B778A6"/>
    <w:rsid w:val="00B779D5"/>
    <w:rsid w:val="00B822E3"/>
    <w:rsid w:val="00B83075"/>
    <w:rsid w:val="00B85093"/>
    <w:rsid w:val="00B85FA2"/>
    <w:rsid w:val="00B871D2"/>
    <w:rsid w:val="00B87462"/>
    <w:rsid w:val="00B8769A"/>
    <w:rsid w:val="00B878C3"/>
    <w:rsid w:val="00B90623"/>
    <w:rsid w:val="00B90D32"/>
    <w:rsid w:val="00B92708"/>
    <w:rsid w:val="00B92A1D"/>
    <w:rsid w:val="00B936AB"/>
    <w:rsid w:val="00B95CDD"/>
    <w:rsid w:val="00B9620F"/>
    <w:rsid w:val="00B968B3"/>
    <w:rsid w:val="00B96AD4"/>
    <w:rsid w:val="00BA0273"/>
    <w:rsid w:val="00BA0806"/>
    <w:rsid w:val="00BA0BBE"/>
    <w:rsid w:val="00BA0EC7"/>
    <w:rsid w:val="00BA2542"/>
    <w:rsid w:val="00BA2924"/>
    <w:rsid w:val="00BA3DAF"/>
    <w:rsid w:val="00BA6C5E"/>
    <w:rsid w:val="00BA6F86"/>
    <w:rsid w:val="00BA70EA"/>
    <w:rsid w:val="00BB199F"/>
    <w:rsid w:val="00BB2001"/>
    <w:rsid w:val="00BB30F6"/>
    <w:rsid w:val="00BB44BB"/>
    <w:rsid w:val="00BB5779"/>
    <w:rsid w:val="00BB5F57"/>
    <w:rsid w:val="00BB63A5"/>
    <w:rsid w:val="00BB6662"/>
    <w:rsid w:val="00BB7BE1"/>
    <w:rsid w:val="00BC148F"/>
    <w:rsid w:val="00BC17A0"/>
    <w:rsid w:val="00BC21DB"/>
    <w:rsid w:val="00BC3B10"/>
    <w:rsid w:val="00BC4401"/>
    <w:rsid w:val="00BC757B"/>
    <w:rsid w:val="00BD017A"/>
    <w:rsid w:val="00BD2AF2"/>
    <w:rsid w:val="00BD2EAC"/>
    <w:rsid w:val="00BD3C73"/>
    <w:rsid w:val="00BD421A"/>
    <w:rsid w:val="00BD439C"/>
    <w:rsid w:val="00BD6832"/>
    <w:rsid w:val="00BE1440"/>
    <w:rsid w:val="00BE18EF"/>
    <w:rsid w:val="00BE24A0"/>
    <w:rsid w:val="00BE5245"/>
    <w:rsid w:val="00BE6837"/>
    <w:rsid w:val="00BF18D2"/>
    <w:rsid w:val="00BF1A2D"/>
    <w:rsid w:val="00BF1C23"/>
    <w:rsid w:val="00BF264D"/>
    <w:rsid w:val="00BF7D6A"/>
    <w:rsid w:val="00C00264"/>
    <w:rsid w:val="00C01E51"/>
    <w:rsid w:val="00C05CC4"/>
    <w:rsid w:val="00C06575"/>
    <w:rsid w:val="00C114A7"/>
    <w:rsid w:val="00C14BEC"/>
    <w:rsid w:val="00C179D4"/>
    <w:rsid w:val="00C211CC"/>
    <w:rsid w:val="00C218F8"/>
    <w:rsid w:val="00C21C5A"/>
    <w:rsid w:val="00C23912"/>
    <w:rsid w:val="00C23C74"/>
    <w:rsid w:val="00C2628A"/>
    <w:rsid w:val="00C262FB"/>
    <w:rsid w:val="00C26C25"/>
    <w:rsid w:val="00C275CC"/>
    <w:rsid w:val="00C31B7D"/>
    <w:rsid w:val="00C325A2"/>
    <w:rsid w:val="00C32AFE"/>
    <w:rsid w:val="00C33E52"/>
    <w:rsid w:val="00C345B6"/>
    <w:rsid w:val="00C34D5B"/>
    <w:rsid w:val="00C35D65"/>
    <w:rsid w:val="00C36010"/>
    <w:rsid w:val="00C3643C"/>
    <w:rsid w:val="00C373A6"/>
    <w:rsid w:val="00C40C49"/>
    <w:rsid w:val="00C4230E"/>
    <w:rsid w:val="00C42C3A"/>
    <w:rsid w:val="00C4330A"/>
    <w:rsid w:val="00C45734"/>
    <w:rsid w:val="00C470DB"/>
    <w:rsid w:val="00C47BFA"/>
    <w:rsid w:val="00C50BB7"/>
    <w:rsid w:val="00C52C1C"/>
    <w:rsid w:val="00C5346B"/>
    <w:rsid w:val="00C54D98"/>
    <w:rsid w:val="00C565B1"/>
    <w:rsid w:val="00C56DD3"/>
    <w:rsid w:val="00C57173"/>
    <w:rsid w:val="00C61760"/>
    <w:rsid w:val="00C61FB4"/>
    <w:rsid w:val="00C62A13"/>
    <w:rsid w:val="00C64F59"/>
    <w:rsid w:val="00C6566D"/>
    <w:rsid w:val="00C662F1"/>
    <w:rsid w:val="00C67A2A"/>
    <w:rsid w:val="00C7227C"/>
    <w:rsid w:val="00C72C09"/>
    <w:rsid w:val="00C734D0"/>
    <w:rsid w:val="00C73B75"/>
    <w:rsid w:val="00C753ED"/>
    <w:rsid w:val="00C75614"/>
    <w:rsid w:val="00C75AA7"/>
    <w:rsid w:val="00C7618A"/>
    <w:rsid w:val="00C76626"/>
    <w:rsid w:val="00C77FFC"/>
    <w:rsid w:val="00C802CA"/>
    <w:rsid w:val="00C81651"/>
    <w:rsid w:val="00C831C3"/>
    <w:rsid w:val="00C8374F"/>
    <w:rsid w:val="00C85B20"/>
    <w:rsid w:val="00C85E6E"/>
    <w:rsid w:val="00C86B19"/>
    <w:rsid w:val="00C874DE"/>
    <w:rsid w:val="00C87E15"/>
    <w:rsid w:val="00C92ED8"/>
    <w:rsid w:val="00C92F28"/>
    <w:rsid w:val="00C93BBC"/>
    <w:rsid w:val="00C9480D"/>
    <w:rsid w:val="00C96156"/>
    <w:rsid w:val="00CA1196"/>
    <w:rsid w:val="00CA1555"/>
    <w:rsid w:val="00CA163A"/>
    <w:rsid w:val="00CA17D7"/>
    <w:rsid w:val="00CA2998"/>
    <w:rsid w:val="00CA352C"/>
    <w:rsid w:val="00CA3637"/>
    <w:rsid w:val="00CA3A62"/>
    <w:rsid w:val="00CA71B0"/>
    <w:rsid w:val="00CA73C3"/>
    <w:rsid w:val="00CA7D47"/>
    <w:rsid w:val="00CB022B"/>
    <w:rsid w:val="00CB0B01"/>
    <w:rsid w:val="00CB2089"/>
    <w:rsid w:val="00CB2934"/>
    <w:rsid w:val="00CB385E"/>
    <w:rsid w:val="00CB3AA9"/>
    <w:rsid w:val="00CB53D1"/>
    <w:rsid w:val="00CB5B27"/>
    <w:rsid w:val="00CB5D5A"/>
    <w:rsid w:val="00CB619F"/>
    <w:rsid w:val="00CB67D7"/>
    <w:rsid w:val="00CB6AA2"/>
    <w:rsid w:val="00CB6C7A"/>
    <w:rsid w:val="00CB7B3C"/>
    <w:rsid w:val="00CC0ED0"/>
    <w:rsid w:val="00CC1872"/>
    <w:rsid w:val="00CC2DEC"/>
    <w:rsid w:val="00CC3EC0"/>
    <w:rsid w:val="00CC4995"/>
    <w:rsid w:val="00CC538F"/>
    <w:rsid w:val="00CC78D4"/>
    <w:rsid w:val="00CC7F3F"/>
    <w:rsid w:val="00CD544A"/>
    <w:rsid w:val="00CE33F1"/>
    <w:rsid w:val="00CE35B0"/>
    <w:rsid w:val="00CE51BF"/>
    <w:rsid w:val="00CE57F9"/>
    <w:rsid w:val="00CE7044"/>
    <w:rsid w:val="00CF06B9"/>
    <w:rsid w:val="00CF0AE6"/>
    <w:rsid w:val="00CF3A31"/>
    <w:rsid w:val="00CF542C"/>
    <w:rsid w:val="00CF5942"/>
    <w:rsid w:val="00CF691F"/>
    <w:rsid w:val="00CF6C26"/>
    <w:rsid w:val="00CF6D76"/>
    <w:rsid w:val="00D00D01"/>
    <w:rsid w:val="00D010A7"/>
    <w:rsid w:val="00D04B4D"/>
    <w:rsid w:val="00D076DA"/>
    <w:rsid w:val="00D11F45"/>
    <w:rsid w:val="00D13B0A"/>
    <w:rsid w:val="00D13C7E"/>
    <w:rsid w:val="00D1427E"/>
    <w:rsid w:val="00D14B88"/>
    <w:rsid w:val="00D16D78"/>
    <w:rsid w:val="00D16EBE"/>
    <w:rsid w:val="00D171A0"/>
    <w:rsid w:val="00D17D66"/>
    <w:rsid w:val="00D203E3"/>
    <w:rsid w:val="00D20FF9"/>
    <w:rsid w:val="00D21C59"/>
    <w:rsid w:val="00D237DB"/>
    <w:rsid w:val="00D2388F"/>
    <w:rsid w:val="00D23C04"/>
    <w:rsid w:val="00D30C55"/>
    <w:rsid w:val="00D3128C"/>
    <w:rsid w:val="00D32021"/>
    <w:rsid w:val="00D322E0"/>
    <w:rsid w:val="00D327BD"/>
    <w:rsid w:val="00D331B3"/>
    <w:rsid w:val="00D3323B"/>
    <w:rsid w:val="00D332F7"/>
    <w:rsid w:val="00D34990"/>
    <w:rsid w:val="00D34E44"/>
    <w:rsid w:val="00D35AED"/>
    <w:rsid w:val="00D36375"/>
    <w:rsid w:val="00D37FC4"/>
    <w:rsid w:val="00D40886"/>
    <w:rsid w:val="00D40B48"/>
    <w:rsid w:val="00D41012"/>
    <w:rsid w:val="00D419FE"/>
    <w:rsid w:val="00D43686"/>
    <w:rsid w:val="00D44C3E"/>
    <w:rsid w:val="00D471E0"/>
    <w:rsid w:val="00D4783B"/>
    <w:rsid w:val="00D478B8"/>
    <w:rsid w:val="00D51412"/>
    <w:rsid w:val="00D52454"/>
    <w:rsid w:val="00D53FE9"/>
    <w:rsid w:val="00D5568B"/>
    <w:rsid w:val="00D5587F"/>
    <w:rsid w:val="00D55F6E"/>
    <w:rsid w:val="00D5631B"/>
    <w:rsid w:val="00D56797"/>
    <w:rsid w:val="00D56EE5"/>
    <w:rsid w:val="00D56FAB"/>
    <w:rsid w:val="00D575BE"/>
    <w:rsid w:val="00D60276"/>
    <w:rsid w:val="00D630BB"/>
    <w:rsid w:val="00D63D96"/>
    <w:rsid w:val="00D649ED"/>
    <w:rsid w:val="00D64AE1"/>
    <w:rsid w:val="00D70859"/>
    <w:rsid w:val="00D72607"/>
    <w:rsid w:val="00D726FB"/>
    <w:rsid w:val="00D72977"/>
    <w:rsid w:val="00D742A4"/>
    <w:rsid w:val="00D758C9"/>
    <w:rsid w:val="00D77070"/>
    <w:rsid w:val="00D80D70"/>
    <w:rsid w:val="00D81591"/>
    <w:rsid w:val="00D8296D"/>
    <w:rsid w:val="00D82C53"/>
    <w:rsid w:val="00D830C1"/>
    <w:rsid w:val="00D83B08"/>
    <w:rsid w:val="00D84A76"/>
    <w:rsid w:val="00D84C35"/>
    <w:rsid w:val="00D84DF8"/>
    <w:rsid w:val="00D86D70"/>
    <w:rsid w:val="00D87323"/>
    <w:rsid w:val="00D90BCF"/>
    <w:rsid w:val="00D9171F"/>
    <w:rsid w:val="00D92608"/>
    <w:rsid w:val="00D94621"/>
    <w:rsid w:val="00D9557E"/>
    <w:rsid w:val="00D95D08"/>
    <w:rsid w:val="00D96778"/>
    <w:rsid w:val="00D96FE0"/>
    <w:rsid w:val="00D97914"/>
    <w:rsid w:val="00D97B32"/>
    <w:rsid w:val="00DA146D"/>
    <w:rsid w:val="00DA1A3B"/>
    <w:rsid w:val="00DA2D9C"/>
    <w:rsid w:val="00DA3CF5"/>
    <w:rsid w:val="00DA45B0"/>
    <w:rsid w:val="00DA4F39"/>
    <w:rsid w:val="00DA561B"/>
    <w:rsid w:val="00DA604D"/>
    <w:rsid w:val="00DA6C1F"/>
    <w:rsid w:val="00DA6E8C"/>
    <w:rsid w:val="00DB02E9"/>
    <w:rsid w:val="00DB0784"/>
    <w:rsid w:val="00DB1135"/>
    <w:rsid w:val="00DB18BC"/>
    <w:rsid w:val="00DB1D86"/>
    <w:rsid w:val="00DB379A"/>
    <w:rsid w:val="00DB5069"/>
    <w:rsid w:val="00DB68D7"/>
    <w:rsid w:val="00DB738D"/>
    <w:rsid w:val="00DC1A20"/>
    <w:rsid w:val="00DC2D14"/>
    <w:rsid w:val="00DC31D9"/>
    <w:rsid w:val="00DC5149"/>
    <w:rsid w:val="00DC53ED"/>
    <w:rsid w:val="00DC745B"/>
    <w:rsid w:val="00DC7760"/>
    <w:rsid w:val="00DD14D3"/>
    <w:rsid w:val="00DD17D6"/>
    <w:rsid w:val="00DD1EF7"/>
    <w:rsid w:val="00DD5588"/>
    <w:rsid w:val="00DD7BE1"/>
    <w:rsid w:val="00DE0A37"/>
    <w:rsid w:val="00DE1958"/>
    <w:rsid w:val="00DE37EE"/>
    <w:rsid w:val="00DE3A2F"/>
    <w:rsid w:val="00DE431B"/>
    <w:rsid w:val="00DE4AA2"/>
    <w:rsid w:val="00DE5362"/>
    <w:rsid w:val="00DE76B9"/>
    <w:rsid w:val="00DF0EAE"/>
    <w:rsid w:val="00DF2ACA"/>
    <w:rsid w:val="00DF2CD8"/>
    <w:rsid w:val="00DF30D3"/>
    <w:rsid w:val="00DF4246"/>
    <w:rsid w:val="00DF5535"/>
    <w:rsid w:val="00DF68EA"/>
    <w:rsid w:val="00E01B88"/>
    <w:rsid w:val="00E030FA"/>
    <w:rsid w:val="00E05051"/>
    <w:rsid w:val="00E05FF1"/>
    <w:rsid w:val="00E10B7F"/>
    <w:rsid w:val="00E14139"/>
    <w:rsid w:val="00E14B35"/>
    <w:rsid w:val="00E1574D"/>
    <w:rsid w:val="00E1603A"/>
    <w:rsid w:val="00E208E0"/>
    <w:rsid w:val="00E22256"/>
    <w:rsid w:val="00E22638"/>
    <w:rsid w:val="00E22749"/>
    <w:rsid w:val="00E23E07"/>
    <w:rsid w:val="00E240F0"/>
    <w:rsid w:val="00E2572B"/>
    <w:rsid w:val="00E257A1"/>
    <w:rsid w:val="00E2717D"/>
    <w:rsid w:val="00E27DF1"/>
    <w:rsid w:val="00E30FAD"/>
    <w:rsid w:val="00E31A0E"/>
    <w:rsid w:val="00E32457"/>
    <w:rsid w:val="00E32849"/>
    <w:rsid w:val="00E33A71"/>
    <w:rsid w:val="00E34EAF"/>
    <w:rsid w:val="00E35F8F"/>
    <w:rsid w:val="00E36CB4"/>
    <w:rsid w:val="00E4032A"/>
    <w:rsid w:val="00E43CA8"/>
    <w:rsid w:val="00E45881"/>
    <w:rsid w:val="00E460F4"/>
    <w:rsid w:val="00E46709"/>
    <w:rsid w:val="00E469A5"/>
    <w:rsid w:val="00E543D5"/>
    <w:rsid w:val="00E54991"/>
    <w:rsid w:val="00E56BE9"/>
    <w:rsid w:val="00E56E7E"/>
    <w:rsid w:val="00E579ED"/>
    <w:rsid w:val="00E602EC"/>
    <w:rsid w:val="00E608FE"/>
    <w:rsid w:val="00E60D21"/>
    <w:rsid w:val="00E62349"/>
    <w:rsid w:val="00E62549"/>
    <w:rsid w:val="00E626EE"/>
    <w:rsid w:val="00E6321D"/>
    <w:rsid w:val="00E63891"/>
    <w:rsid w:val="00E63A1F"/>
    <w:rsid w:val="00E66B86"/>
    <w:rsid w:val="00E704AC"/>
    <w:rsid w:val="00E71D0B"/>
    <w:rsid w:val="00E7294C"/>
    <w:rsid w:val="00E742E5"/>
    <w:rsid w:val="00E7703F"/>
    <w:rsid w:val="00E77856"/>
    <w:rsid w:val="00E77F29"/>
    <w:rsid w:val="00E80C8C"/>
    <w:rsid w:val="00E81BC9"/>
    <w:rsid w:val="00E81C31"/>
    <w:rsid w:val="00E85054"/>
    <w:rsid w:val="00E86E6E"/>
    <w:rsid w:val="00E9155E"/>
    <w:rsid w:val="00E91571"/>
    <w:rsid w:val="00E91691"/>
    <w:rsid w:val="00E917FF"/>
    <w:rsid w:val="00E91916"/>
    <w:rsid w:val="00E92834"/>
    <w:rsid w:val="00E94591"/>
    <w:rsid w:val="00E94F2E"/>
    <w:rsid w:val="00E95724"/>
    <w:rsid w:val="00EA1519"/>
    <w:rsid w:val="00EA36BC"/>
    <w:rsid w:val="00EA3866"/>
    <w:rsid w:val="00EA3FBC"/>
    <w:rsid w:val="00EA47E6"/>
    <w:rsid w:val="00EA5083"/>
    <w:rsid w:val="00EA5284"/>
    <w:rsid w:val="00EA6126"/>
    <w:rsid w:val="00EA6836"/>
    <w:rsid w:val="00EA7B20"/>
    <w:rsid w:val="00EA7B59"/>
    <w:rsid w:val="00EB0332"/>
    <w:rsid w:val="00EB0CFC"/>
    <w:rsid w:val="00EB210E"/>
    <w:rsid w:val="00EB4708"/>
    <w:rsid w:val="00EB4D5F"/>
    <w:rsid w:val="00EB6102"/>
    <w:rsid w:val="00EC0A95"/>
    <w:rsid w:val="00EC21E4"/>
    <w:rsid w:val="00EC3689"/>
    <w:rsid w:val="00EC3CAD"/>
    <w:rsid w:val="00EC5029"/>
    <w:rsid w:val="00EC5707"/>
    <w:rsid w:val="00EC6782"/>
    <w:rsid w:val="00EC6F42"/>
    <w:rsid w:val="00EC71FE"/>
    <w:rsid w:val="00EC7299"/>
    <w:rsid w:val="00EC7A31"/>
    <w:rsid w:val="00ED1999"/>
    <w:rsid w:val="00ED484F"/>
    <w:rsid w:val="00ED5B27"/>
    <w:rsid w:val="00ED6DB3"/>
    <w:rsid w:val="00ED751A"/>
    <w:rsid w:val="00ED7AAF"/>
    <w:rsid w:val="00ED7D75"/>
    <w:rsid w:val="00EE25DC"/>
    <w:rsid w:val="00EE39FB"/>
    <w:rsid w:val="00EE4598"/>
    <w:rsid w:val="00EE531B"/>
    <w:rsid w:val="00EE6762"/>
    <w:rsid w:val="00EE6BCA"/>
    <w:rsid w:val="00EF03C6"/>
    <w:rsid w:val="00EF0524"/>
    <w:rsid w:val="00EF0A13"/>
    <w:rsid w:val="00EF1726"/>
    <w:rsid w:val="00EF1E0D"/>
    <w:rsid w:val="00EF2602"/>
    <w:rsid w:val="00EF326B"/>
    <w:rsid w:val="00EF382C"/>
    <w:rsid w:val="00EF3CC8"/>
    <w:rsid w:val="00EF4C8C"/>
    <w:rsid w:val="00EF6132"/>
    <w:rsid w:val="00EF6EB7"/>
    <w:rsid w:val="00F029E9"/>
    <w:rsid w:val="00F0358D"/>
    <w:rsid w:val="00F03823"/>
    <w:rsid w:val="00F03DBD"/>
    <w:rsid w:val="00F04D27"/>
    <w:rsid w:val="00F05502"/>
    <w:rsid w:val="00F05CE9"/>
    <w:rsid w:val="00F06032"/>
    <w:rsid w:val="00F0715A"/>
    <w:rsid w:val="00F07891"/>
    <w:rsid w:val="00F07A51"/>
    <w:rsid w:val="00F07AB6"/>
    <w:rsid w:val="00F148FF"/>
    <w:rsid w:val="00F15ABC"/>
    <w:rsid w:val="00F16652"/>
    <w:rsid w:val="00F178B1"/>
    <w:rsid w:val="00F17924"/>
    <w:rsid w:val="00F20C15"/>
    <w:rsid w:val="00F21F9F"/>
    <w:rsid w:val="00F27306"/>
    <w:rsid w:val="00F2774F"/>
    <w:rsid w:val="00F3114A"/>
    <w:rsid w:val="00F3192B"/>
    <w:rsid w:val="00F31BD3"/>
    <w:rsid w:val="00F32746"/>
    <w:rsid w:val="00F335FE"/>
    <w:rsid w:val="00F353DB"/>
    <w:rsid w:val="00F3660E"/>
    <w:rsid w:val="00F40919"/>
    <w:rsid w:val="00F420FA"/>
    <w:rsid w:val="00F43486"/>
    <w:rsid w:val="00F43EDB"/>
    <w:rsid w:val="00F453D7"/>
    <w:rsid w:val="00F45578"/>
    <w:rsid w:val="00F465B8"/>
    <w:rsid w:val="00F46A57"/>
    <w:rsid w:val="00F46F52"/>
    <w:rsid w:val="00F475F5"/>
    <w:rsid w:val="00F50427"/>
    <w:rsid w:val="00F50552"/>
    <w:rsid w:val="00F51355"/>
    <w:rsid w:val="00F5152C"/>
    <w:rsid w:val="00F52F60"/>
    <w:rsid w:val="00F5347D"/>
    <w:rsid w:val="00F53CD6"/>
    <w:rsid w:val="00F553F1"/>
    <w:rsid w:val="00F570DD"/>
    <w:rsid w:val="00F60AF5"/>
    <w:rsid w:val="00F626B8"/>
    <w:rsid w:val="00F62E1A"/>
    <w:rsid w:val="00F6338A"/>
    <w:rsid w:val="00F635F0"/>
    <w:rsid w:val="00F64854"/>
    <w:rsid w:val="00F669CD"/>
    <w:rsid w:val="00F67584"/>
    <w:rsid w:val="00F70030"/>
    <w:rsid w:val="00F703CF"/>
    <w:rsid w:val="00F71662"/>
    <w:rsid w:val="00F72475"/>
    <w:rsid w:val="00F74E2A"/>
    <w:rsid w:val="00F7601C"/>
    <w:rsid w:val="00F7634F"/>
    <w:rsid w:val="00F80010"/>
    <w:rsid w:val="00F80F7D"/>
    <w:rsid w:val="00F81CA7"/>
    <w:rsid w:val="00F83E4E"/>
    <w:rsid w:val="00F868EB"/>
    <w:rsid w:val="00F90DD1"/>
    <w:rsid w:val="00F91434"/>
    <w:rsid w:val="00F9221D"/>
    <w:rsid w:val="00F93C4E"/>
    <w:rsid w:val="00F9412C"/>
    <w:rsid w:val="00F94890"/>
    <w:rsid w:val="00F9533D"/>
    <w:rsid w:val="00F9541A"/>
    <w:rsid w:val="00F96358"/>
    <w:rsid w:val="00FA24EA"/>
    <w:rsid w:val="00FA2D1A"/>
    <w:rsid w:val="00FA4E55"/>
    <w:rsid w:val="00FB0033"/>
    <w:rsid w:val="00FB0ACB"/>
    <w:rsid w:val="00FB2745"/>
    <w:rsid w:val="00FB2A3F"/>
    <w:rsid w:val="00FB2CB3"/>
    <w:rsid w:val="00FB46B5"/>
    <w:rsid w:val="00FB655A"/>
    <w:rsid w:val="00FC091E"/>
    <w:rsid w:val="00FC0DE2"/>
    <w:rsid w:val="00FC12B6"/>
    <w:rsid w:val="00FC1EB7"/>
    <w:rsid w:val="00FC2577"/>
    <w:rsid w:val="00FC34B5"/>
    <w:rsid w:val="00FC5959"/>
    <w:rsid w:val="00FC67A6"/>
    <w:rsid w:val="00FC699E"/>
    <w:rsid w:val="00FC6B62"/>
    <w:rsid w:val="00FC7767"/>
    <w:rsid w:val="00FC7BDC"/>
    <w:rsid w:val="00FD146A"/>
    <w:rsid w:val="00FD1543"/>
    <w:rsid w:val="00FD20F3"/>
    <w:rsid w:val="00FD2188"/>
    <w:rsid w:val="00FD2429"/>
    <w:rsid w:val="00FD28D8"/>
    <w:rsid w:val="00FD2C57"/>
    <w:rsid w:val="00FD3DF0"/>
    <w:rsid w:val="00FD4113"/>
    <w:rsid w:val="00FD5E2E"/>
    <w:rsid w:val="00FE1B3B"/>
    <w:rsid w:val="00FE1D86"/>
    <w:rsid w:val="00FE2679"/>
    <w:rsid w:val="00FE34ED"/>
    <w:rsid w:val="00FE4337"/>
    <w:rsid w:val="00FE4904"/>
    <w:rsid w:val="00FE4C69"/>
    <w:rsid w:val="00FE57EE"/>
    <w:rsid w:val="00FE58C7"/>
    <w:rsid w:val="00FE7588"/>
    <w:rsid w:val="00FF30CE"/>
    <w:rsid w:val="00FF37C2"/>
    <w:rsid w:val="00FF4D69"/>
    <w:rsid w:val="00FF4FAC"/>
    <w:rsid w:val="00FF508D"/>
    <w:rsid w:val="00FF624A"/>
    <w:rsid w:val="00FF7712"/>
    <w:rsid w:val="00FF79A9"/>
    <w:rsid w:val="00FF7BAE"/>
    <w:rsid w:val="0100390C"/>
    <w:rsid w:val="01152B5F"/>
    <w:rsid w:val="012304E9"/>
    <w:rsid w:val="012313A8"/>
    <w:rsid w:val="01255120"/>
    <w:rsid w:val="012810B4"/>
    <w:rsid w:val="012F41F1"/>
    <w:rsid w:val="01437C9C"/>
    <w:rsid w:val="0147153B"/>
    <w:rsid w:val="014F6641"/>
    <w:rsid w:val="015B6D94"/>
    <w:rsid w:val="017F3EED"/>
    <w:rsid w:val="018E53BB"/>
    <w:rsid w:val="019E47C2"/>
    <w:rsid w:val="01A32051"/>
    <w:rsid w:val="01A544B3"/>
    <w:rsid w:val="01AE3368"/>
    <w:rsid w:val="01AF70E0"/>
    <w:rsid w:val="01B85F94"/>
    <w:rsid w:val="01C0309B"/>
    <w:rsid w:val="01F80A87"/>
    <w:rsid w:val="020C62E0"/>
    <w:rsid w:val="020E2058"/>
    <w:rsid w:val="020F7B7E"/>
    <w:rsid w:val="02145195"/>
    <w:rsid w:val="0216715F"/>
    <w:rsid w:val="02206017"/>
    <w:rsid w:val="02296E92"/>
    <w:rsid w:val="0233386D"/>
    <w:rsid w:val="024677F2"/>
    <w:rsid w:val="024C492F"/>
    <w:rsid w:val="025008C3"/>
    <w:rsid w:val="025D08EA"/>
    <w:rsid w:val="02720839"/>
    <w:rsid w:val="027A76EE"/>
    <w:rsid w:val="028D7421"/>
    <w:rsid w:val="02AE7397"/>
    <w:rsid w:val="02D00703"/>
    <w:rsid w:val="02DC5CB3"/>
    <w:rsid w:val="02E42DB9"/>
    <w:rsid w:val="02E84657"/>
    <w:rsid w:val="02EB239A"/>
    <w:rsid w:val="02EC7A94"/>
    <w:rsid w:val="02F05C02"/>
    <w:rsid w:val="03065425"/>
    <w:rsid w:val="031F2043"/>
    <w:rsid w:val="032338E1"/>
    <w:rsid w:val="033D313F"/>
    <w:rsid w:val="03463A74"/>
    <w:rsid w:val="036A59B4"/>
    <w:rsid w:val="036D1000"/>
    <w:rsid w:val="036E5A21"/>
    <w:rsid w:val="038500F8"/>
    <w:rsid w:val="039B791C"/>
    <w:rsid w:val="03A013D6"/>
    <w:rsid w:val="03C2759E"/>
    <w:rsid w:val="03CF75C5"/>
    <w:rsid w:val="03E33071"/>
    <w:rsid w:val="03E6051C"/>
    <w:rsid w:val="03E72B61"/>
    <w:rsid w:val="03F37758"/>
    <w:rsid w:val="040A684F"/>
    <w:rsid w:val="040D00EE"/>
    <w:rsid w:val="040E27E3"/>
    <w:rsid w:val="040E4592"/>
    <w:rsid w:val="0419631C"/>
    <w:rsid w:val="042518DB"/>
    <w:rsid w:val="043240A2"/>
    <w:rsid w:val="04365896"/>
    <w:rsid w:val="043F0BEF"/>
    <w:rsid w:val="04463D2B"/>
    <w:rsid w:val="044C0C16"/>
    <w:rsid w:val="046B5540"/>
    <w:rsid w:val="047343F5"/>
    <w:rsid w:val="04966335"/>
    <w:rsid w:val="04A86794"/>
    <w:rsid w:val="04AC5B58"/>
    <w:rsid w:val="04AE18D1"/>
    <w:rsid w:val="04B54A0D"/>
    <w:rsid w:val="04D806FC"/>
    <w:rsid w:val="04FB5A13"/>
    <w:rsid w:val="0506148E"/>
    <w:rsid w:val="05080FE1"/>
    <w:rsid w:val="050D1608"/>
    <w:rsid w:val="051A6F66"/>
    <w:rsid w:val="051C4A8C"/>
    <w:rsid w:val="052B4CCF"/>
    <w:rsid w:val="052D6C99"/>
    <w:rsid w:val="05557F9E"/>
    <w:rsid w:val="055E50A5"/>
    <w:rsid w:val="056703FD"/>
    <w:rsid w:val="05743425"/>
    <w:rsid w:val="05926AFC"/>
    <w:rsid w:val="05AD7DDA"/>
    <w:rsid w:val="05BE5B43"/>
    <w:rsid w:val="05C80770"/>
    <w:rsid w:val="05E01F5E"/>
    <w:rsid w:val="05EE3D69"/>
    <w:rsid w:val="05F477B7"/>
    <w:rsid w:val="05F81055"/>
    <w:rsid w:val="05FF2CBE"/>
    <w:rsid w:val="05FF6D42"/>
    <w:rsid w:val="06021ED4"/>
    <w:rsid w:val="060829D1"/>
    <w:rsid w:val="061F2A86"/>
    <w:rsid w:val="062736E9"/>
    <w:rsid w:val="062A4F87"/>
    <w:rsid w:val="06414E6F"/>
    <w:rsid w:val="06436049"/>
    <w:rsid w:val="065564A8"/>
    <w:rsid w:val="065D35AE"/>
    <w:rsid w:val="0661309E"/>
    <w:rsid w:val="066C37F1"/>
    <w:rsid w:val="068648B3"/>
    <w:rsid w:val="069468A4"/>
    <w:rsid w:val="069B7C33"/>
    <w:rsid w:val="06AE7966"/>
    <w:rsid w:val="06D53145"/>
    <w:rsid w:val="06E23AB3"/>
    <w:rsid w:val="06E666EC"/>
    <w:rsid w:val="06E94E42"/>
    <w:rsid w:val="06F23CF7"/>
    <w:rsid w:val="07043A2A"/>
    <w:rsid w:val="07106873"/>
    <w:rsid w:val="07155C37"/>
    <w:rsid w:val="0719420E"/>
    <w:rsid w:val="07195727"/>
    <w:rsid w:val="07245E7A"/>
    <w:rsid w:val="0728596A"/>
    <w:rsid w:val="07342561"/>
    <w:rsid w:val="07481D5F"/>
    <w:rsid w:val="07520C39"/>
    <w:rsid w:val="07577FFE"/>
    <w:rsid w:val="075A189C"/>
    <w:rsid w:val="07632E46"/>
    <w:rsid w:val="077B0190"/>
    <w:rsid w:val="07801D5E"/>
    <w:rsid w:val="078636F5"/>
    <w:rsid w:val="078E1545"/>
    <w:rsid w:val="07943000"/>
    <w:rsid w:val="079F3753"/>
    <w:rsid w:val="07C82CA9"/>
    <w:rsid w:val="07D21D7A"/>
    <w:rsid w:val="07EC6F0B"/>
    <w:rsid w:val="07FA37B6"/>
    <w:rsid w:val="08031F33"/>
    <w:rsid w:val="081B727D"/>
    <w:rsid w:val="082D6FB0"/>
    <w:rsid w:val="08433A0C"/>
    <w:rsid w:val="084A7B62"/>
    <w:rsid w:val="084E7652"/>
    <w:rsid w:val="08670714"/>
    <w:rsid w:val="0869448C"/>
    <w:rsid w:val="08805332"/>
    <w:rsid w:val="08931509"/>
    <w:rsid w:val="08935065"/>
    <w:rsid w:val="08965EEE"/>
    <w:rsid w:val="0898267C"/>
    <w:rsid w:val="08A4443A"/>
    <w:rsid w:val="08AD726E"/>
    <w:rsid w:val="08B33959"/>
    <w:rsid w:val="08BB280E"/>
    <w:rsid w:val="08BD0334"/>
    <w:rsid w:val="08CA63AF"/>
    <w:rsid w:val="08CC0577"/>
    <w:rsid w:val="08E92ED7"/>
    <w:rsid w:val="08F71A98"/>
    <w:rsid w:val="08F875BE"/>
    <w:rsid w:val="09000221"/>
    <w:rsid w:val="09016473"/>
    <w:rsid w:val="0902043D"/>
    <w:rsid w:val="09242161"/>
    <w:rsid w:val="093305F6"/>
    <w:rsid w:val="0935611C"/>
    <w:rsid w:val="094620D8"/>
    <w:rsid w:val="09475E50"/>
    <w:rsid w:val="09630EDC"/>
    <w:rsid w:val="097F383C"/>
    <w:rsid w:val="097F7B3F"/>
    <w:rsid w:val="09840E52"/>
    <w:rsid w:val="098D5F59"/>
    <w:rsid w:val="09A3577C"/>
    <w:rsid w:val="09AF2373"/>
    <w:rsid w:val="09DC0C8E"/>
    <w:rsid w:val="09E3440A"/>
    <w:rsid w:val="09F47D86"/>
    <w:rsid w:val="09F61D50"/>
    <w:rsid w:val="0A0106F5"/>
    <w:rsid w:val="0A03446D"/>
    <w:rsid w:val="0A1B3F65"/>
    <w:rsid w:val="0A2543E3"/>
    <w:rsid w:val="0A314B36"/>
    <w:rsid w:val="0A365571"/>
    <w:rsid w:val="0A37356D"/>
    <w:rsid w:val="0A3E36F7"/>
    <w:rsid w:val="0A4A209B"/>
    <w:rsid w:val="0A670558"/>
    <w:rsid w:val="0A6F1B02"/>
    <w:rsid w:val="0A801619"/>
    <w:rsid w:val="0A913826"/>
    <w:rsid w:val="0ABE2142"/>
    <w:rsid w:val="0AE41BA8"/>
    <w:rsid w:val="0AE4604C"/>
    <w:rsid w:val="0AE71698"/>
    <w:rsid w:val="0AF0679F"/>
    <w:rsid w:val="0AF142C5"/>
    <w:rsid w:val="0B024724"/>
    <w:rsid w:val="0B071D3B"/>
    <w:rsid w:val="0B077F8D"/>
    <w:rsid w:val="0B266665"/>
    <w:rsid w:val="0B2823DD"/>
    <w:rsid w:val="0B2C17A1"/>
    <w:rsid w:val="0B332B30"/>
    <w:rsid w:val="0B3C7C36"/>
    <w:rsid w:val="0B4E1717"/>
    <w:rsid w:val="0B633415"/>
    <w:rsid w:val="0B640F3B"/>
    <w:rsid w:val="0B84338B"/>
    <w:rsid w:val="0B8769D7"/>
    <w:rsid w:val="0B884C29"/>
    <w:rsid w:val="0B8C3FEE"/>
    <w:rsid w:val="0B8D0492"/>
    <w:rsid w:val="0B8F2541"/>
    <w:rsid w:val="0B953A5E"/>
    <w:rsid w:val="0BAF665A"/>
    <w:rsid w:val="0BB772BD"/>
    <w:rsid w:val="0BC1638D"/>
    <w:rsid w:val="0BC35C62"/>
    <w:rsid w:val="0BCF2858"/>
    <w:rsid w:val="0BD95485"/>
    <w:rsid w:val="0BE43E2A"/>
    <w:rsid w:val="0BE65DF4"/>
    <w:rsid w:val="0BEB340A"/>
    <w:rsid w:val="0BFE6C9A"/>
    <w:rsid w:val="0C2B1A59"/>
    <w:rsid w:val="0C3602CF"/>
    <w:rsid w:val="0C436DA2"/>
    <w:rsid w:val="0C50246A"/>
    <w:rsid w:val="0C517711"/>
    <w:rsid w:val="0C523489"/>
    <w:rsid w:val="0C7D22B4"/>
    <w:rsid w:val="0C8C24F7"/>
    <w:rsid w:val="0C982E1E"/>
    <w:rsid w:val="0CA041F5"/>
    <w:rsid w:val="0CA75583"/>
    <w:rsid w:val="0CC71781"/>
    <w:rsid w:val="0CCC4FEA"/>
    <w:rsid w:val="0CD36378"/>
    <w:rsid w:val="0CD43E9E"/>
    <w:rsid w:val="0CF513F9"/>
    <w:rsid w:val="0CF602B9"/>
    <w:rsid w:val="0CF84031"/>
    <w:rsid w:val="0D002EE5"/>
    <w:rsid w:val="0D0C53E6"/>
    <w:rsid w:val="0D1A5D55"/>
    <w:rsid w:val="0D2A1D10"/>
    <w:rsid w:val="0D2C3CDA"/>
    <w:rsid w:val="0D314E4D"/>
    <w:rsid w:val="0D417786"/>
    <w:rsid w:val="0D465ABA"/>
    <w:rsid w:val="0D523741"/>
    <w:rsid w:val="0D554FDF"/>
    <w:rsid w:val="0D5A6838"/>
    <w:rsid w:val="0D782A7C"/>
    <w:rsid w:val="0D7C07BE"/>
    <w:rsid w:val="0D897B37"/>
    <w:rsid w:val="0DA11FD2"/>
    <w:rsid w:val="0DB37F58"/>
    <w:rsid w:val="0DB77A48"/>
    <w:rsid w:val="0DCB1BC3"/>
    <w:rsid w:val="0DCE08EE"/>
    <w:rsid w:val="0DDA54E4"/>
    <w:rsid w:val="0DE16873"/>
    <w:rsid w:val="0DE34399"/>
    <w:rsid w:val="0DE37B48"/>
    <w:rsid w:val="0DF5231E"/>
    <w:rsid w:val="0E2D3866"/>
    <w:rsid w:val="0E3177FA"/>
    <w:rsid w:val="0E397051"/>
    <w:rsid w:val="0E43308A"/>
    <w:rsid w:val="0E4868F2"/>
    <w:rsid w:val="0E527771"/>
    <w:rsid w:val="0E537FC3"/>
    <w:rsid w:val="0E5434E9"/>
    <w:rsid w:val="0E56100F"/>
    <w:rsid w:val="0E76520D"/>
    <w:rsid w:val="0E80608C"/>
    <w:rsid w:val="0E856EE6"/>
    <w:rsid w:val="0E861029"/>
    <w:rsid w:val="0E9E29B6"/>
    <w:rsid w:val="0EA37FCC"/>
    <w:rsid w:val="0EC22204"/>
    <w:rsid w:val="0EC6726F"/>
    <w:rsid w:val="0ECA5559"/>
    <w:rsid w:val="0ED14B39"/>
    <w:rsid w:val="0ED63EFE"/>
    <w:rsid w:val="0EEA79A9"/>
    <w:rsid w:val="0EF3685E"/>
    <w:rsid w:val="0EF40828"/>
    <w:rsid w:val="0F026AA1"/>
    <w:rsid w:val="0F0F5662"/>
    <w:rsid w:val="0F24110D"/>
    <w:rsid w:val="0F317386"/>
    <w:rsid w:val="0F3B6457"/>
    <w:rsid w:val="0F4075C9"/>
    <w:rsid w:val="0F4B692A"/>
    <w:rsid w:val="0F4F16A2"/>
    <w:rsid w:val="0F557518"/>
    <w:rsid w:val="0F575055"/>
    <w:rsid w:val="0F5A68DD"/>
    <w:rsid w:val="0F601A19"/>
    <w:rsid w:val="0F615EBD"/>
    <w:rsid w:val="0F735BF1"/>
    <w:rsid w:val="0F73799F"/>
    <w:rsid w:val="0F7554C5"/>
    <w:rsid w:val="0F930041"/>
    <w:rsid w:val="0FA1275E"/>
    <w:rsid w:val="0FA83AEC"/>
    <w:rsid w:val="0FB0474F"/>
    <w:rsid w:val="0FC30926"/>
    <w:rsid w:val="0FEB1C2B"/>
    <w:rsid w:val="0FEB5787"/>
    <w:rsid w:val="0FF3288D"/>
    <w:rsid w:val="0FFF0A52"/>
    <w:rsid w:val="100B407B"/>
    <w:rsid w:val="101051ED"/>
    <w:rsid w:val="10134CDE"/>
    <w:rsid w:val="10240C99"/>
    <w:rsid w:val="104135F9"/>
    <w:rsid w:val="10463305"/>
    <w:rsid w:val="106519EC"/>
    <w:rsid w:val="1077526D"/>
    <w:rsid w:val="107C6ED1"/>
    <w:rsid w:val="107E65FB"/>
    <w:rsid w:val="10802C98"/>
    <w:rsid w:val="10836965"/>
    <w:rsid w:val="108F3EB6"/>
    <w:rsid w:val="109E6C9D"/>
    <w:rsid w:val="10A818CA"/>
    <w:rsid w:val="10A87B1C"/>
    <w:rsid w:val="10C2298C"/>
    <w:rsid w:val="10D64689"/>
    <w:rsid w:val="10D75D0B"/>
    <w:rsid w:val="10E943BC"/>
    <w:rsid w:val="10EA0134"/>
    <w:rsid w:val="110805BA"/>
    <w:rsid w:val="11196324"/>
    <w:rsid w:val="111F4A5A"/>
    <w:rsid w:val="113E51CB"/>
    <w:rsid w:val="115171FB"/>
    <w:rsid w:val="1157799E"/>
    <w:rsid w:val="11621A79"/>
    <w:rsid w:val="11651569"/>
    <w:rsid w:val="116622C5"/>
    <w:rsid w:val="11692E07"/>
    <w:rsid w:val="116E041E"/>
    <w:rsid w:val="117479FE"/>
    <w:rsid w:val="117874EE"/>
    <w:rsid w:val="117B0D8C"/>
    <w:rsid w:val="117B2B3A"/>
    <w:rsid w:val="1182211B"/>
    <w:rsid w:val="11943BFC"/>
    <w:rsid w:val="11991213"/>
    <w:rsid w:val="11A95B02"/>
    <w:rsid w:val="11C270C1"/>
    <w:rsid w:val="11C664AC"/>
    <w:rsid w:val="11F34DC7"/>
    <w:rsid w:val="120C7C36"/>
    <w:rsid w:val="12137217"/>
    <w:rsid w:val="12162A78"/>
    <w:rsid w:val="12437AFC"/>
    <w:rsid w:val="12490E8B"/>
    <w:rsid w:val="12492C39"/>
    <w:rsid w:val="12527D3F"/>
    <w:rsid w:val="125D1675"/>
    <w:rsid w:val="125E66E4"/>
    <w:rsid w:val="12753A2E"/>
    <w:rsid w:val="127C57D1"/>
    <w:rsid w:val="127E6D86"/>
    <w:rsid w:val="12885989"/>
    <w:rsid w:val="128D6FC9"/>
    <w:rsid w:val="12BC165D"/>
    <w:rsid w:val="12DA1AE3"/>
    <w:rsid w:val="13065476"/>
    <w:rsid w:val="131274CE"/>
    <w:rsid w:val="13141499"/>
    <w:rsid w:val="13163C28"/>
    <w:rsid w:val="13223BB5"/>
    <w:rsid w:val="13255454"/>
    <w:rsid w:val="13274D28"/>
    <w:rsid w:val="132A0CBC"/>
    <w:rsid w:val="13463AC5"/>
    <w:rsid w:val="13511DA5"/>
    <w:rsid w:val="136172A7"/>
    <w:rsid w:val="13655850"/>
    <w:rsid w:val="136917E4"/>
    <w:rsid w:val="136C4E31"/>
    <w:rsid w:val="138C7166"/>
    <w:rsid w:val="13961EAE"/>
    <w:rsid w:val="13BF7656"/>
    <w:rsid w:val="13C94031"/>
    <w:rsid w:val="13CB5FFB"/>
    <w:rsid w:val="13D053C0"/>
    <w:rsid w:val="13D33102"/>
    <w:rsid w:val="13D50C28"/>
    <w:rsid w:val="13D645ED"/>
    <w:rsid w:val="13DD5D2E"/>
    <w:rsid w:val="13E7095B"/>
    <w:rsid w:val="13EE1CEA"/>
    <w:rsid w:val="13EE5846"/>
    <w:rsid w:val="142349C8"/>
    <w:rsid w:val="143516C6"/>
    <w:rsid w:val="14665D24"/>
    <w:rsid w:val="146D2C0E"/>
    <w:rsid w:val="14726477"/>
    <w:rsid w:val="147F0B94"/>
    <w:rsid w:val="14A800EA"/>
    <w:rsid w:val="14C36CD2"/>
    <w:rsid w:val="14E530ED"/>
    <w:rsid w:val="14F16F90"/>
    <w:rsid w:val="14FE5F5C"/>
    <w:rsid w:val="14FE7D0A"/>
    <w:rsid w:val="153C06B0"/>
    <w:rsid w:val="155142DE"/>
    <w:rsid w:val="155452A7"/>
    <w:rsid w:val="15545B7C"/>
    <w:rsid w:val="155D0ED5"/>
    <w:rsid w:val="15695ACC"/>
    <w:rsid w:val="15724254"/>
    <w:rsid w:val="1574621E"/>
    <w:rsid w:val="158508C4"/>
    <w:rsid w:val="15BB209F"/>
    <w:rsid w:val="15BB3E4D"/>
    <w:rsid w:val="15BF393E"/>
    <w:rsid w:val="15BF56EC"/>
    <w:rsid w:val="15EF58A5"/>
    <w:rsid w:val="15FC55E0"/>
    <w:rsid w:val="162639BD"/>
    <w:rsid w:val="162C5612"/>
    <w:rsid w:val="16551BAC"/>
    <w:rsid w:val="1666025D"/>
    <w:rsid w:val="16810BF3"/>
    <w:rsid w:val="169F551D"/>
    <w:rsid w:val="16A87F37"/>
    <w:rsid w:val="16BF7034"/>
    <w:rsid w:val="16DF591A"/>
    <w:rsid w:val="16E1643E"/>
    <w:rsid w:val="16F13FCB"/>
    <w:rsid w:val="16F2389F"/>
    <w:rsid w:val="16F63E20"/>
    <w:rsid w:val="16F70EB5"/>
    <w:rsid w:val="16F92E7F"/>
    <w:rsid w:val="16FE3FF2"/>
    <w:rsid w:val="170535D2"/>
    <w:rsid w:val="17123F41"/>
    <w:rsid w:val="171E6442"/>
    <w:rsid w:val="172872C1"/>
    <w:rsid w:val="17306175"/>
    <w:rsid w:val="173E6AE4"/>
    <w:rsid w:val="174C7453"/>
    <w:rsid w:val="176C1B9A"/>
    <w:rsid w:val="176F3141"/>
    <w:rsid w:val="17771FF6"/>
    <w:rsid w:val="177B3894"/>
    <w:rsid w:val="178D5376"/>
    <w:rsid w:val="179E3A27"/>
    <w:rsid w:val="17B63073"/>
    <w:rsid w:val="17C522FB"/>
    <w:rsid w:val="17C57205"/>
    <w:rsid w:val="17CA481C"/>
    <w:rsid w:val="17CF1E32"/>
    <w:rsid w:val="17DA4A5F"/>
    <w:rsid w:val="17DE18E5"/>
    <w:rsid w:val="17E53404"/>
    <w:rsid w:val="17F74BD6"/>
    <w:rsid w:val="17FD074D"/>
    <w:rsid w:val="18047D2E"/>
    <w:rsid w:val="18221F62"/>
    <w:rsid w:val="1824217E"/>
    <w:rsid w:val="18251A52"/>
    <w:rsid w:val="18253800"/>
    <w:rsid w:val="183B3024"/>
    <w:rsid w:val="185760AF"/>
    <w:rsid w:val="18583BD5"/>
    <w:rsid w:val="185C1918"/>
    <w:rsid w:val="18626802"/>
    <w:rsid w:val="18700F1F"/>
    <w:rsid w:val="187529D9"/>
    <w:rsid w:val="18805235"/>
    <w:rsid w:val="18814EDA"/>
    <w:rsid w:val="18A104D3"/>
    <w:rsid w:val="18AB63FB"/>
    <w:rsid w:val="18B43EE8"/>
    <w:rsid w:val="18BF3C55"/>
    <w:rsid w:val="18D6775E"/>
    <w:rsid w:val="1901426D"/>
    <w:rsid w:val="19102702"/>
    <w:rsid w:val="1921046B"/>
    <w:rsid w:val="192166BD"/>
    <w:rsid w:val="19353F17"/>
    <w:rsid w:val="194859F8"/>
    <w:rsid w:val="194B54E8"/>
    <w:rsid w:val="195D7402"/>
    <w:rsid w:val="195F0187"/>
    <w:rsid w:val="196842EC"/>
    <w:rsid w:val="196E66EE"/>
    <w:rsid w:val="19A03A86"/>
    <w:rsid w:val="19B55AB3"/>
    <w:rsid w:val="19D21766"/>
    <w:rsid w:val="19D43730"/>
    <w:rsid w:val="19D92AF4"/>
    <w:rsid w:val="19DD0836"/>
    <w:rsid w:val="19DD426E"/>
    <w:rsid w:val="1A2C356C"/>
    <w:rsid w:val="1A400DC5"/>
    <w:rsid w:val="1A4464DC"/>
    <w:rsid w:val="1A472154"/>
    <w:rsid w:val="1A491A28"/>
    <w:rsid w:val="1A4F2DB6"/>
    <w:rsid w:val="1A50725A"/>
    <w:rsid w:val="1A6C3968"/>
    <w:rsid w:val="1A7016AA"/>
    <w:rsid w:val="1A7B3BAB"/>
    <w:rsid w:val="1A9C317B"/>
    <w:rsid w:val="1AA255DC"/>
    <w:rsid w:val="1AA470EC"/>
    <w:rsid w:val="1AA94BBC"/>
    <w:rsid w:val="1AB33345"/>
    <w:rsid w:val="1AB5530F"/>
    <w:rsid w:val="1AB71087"/>
    <w:rsid w:val="1AC6751C"/>
    <w:rsid w:val="1AC75042"/>
    <w:rsid w:val="1ACC4407"/>
    <w:rsid w:val="1AE0625F"/>
    <w:rsid w:val="1AFC6A9A"/>
    <w:rsid w:val="1B067919"/>
    <w:rsid w:val="1B2D759B"/>
    <w:rsid w:val="1B4346C9"/>
    <w:rsid w:val="1B6A60FA"/>
    <w:rsid w:val="1B721452"/>
    <w:rsid w:val="1B724FAE"/>
    <w:rsid w:val="1B7A3E63"/>
    <w:rsid w:val="1B882A24"/>
    <w:rsid w:val="1BAA4748"/>
    <w:rsid w:val="1BBD7521"/>
    <w:rsid w:val="1BC752FA"/>
    <w:rsid w:val="1BD712B5"/>
    <w:rsid w:val="1BE340FE"/>
    <w:rsid w:val="1BE37C5A"/>
    <w:rsid w:val="1BEA2D97"/>
    <w:rsid w:val="1BEC6B0F"/>
    <w:rsid w:val="1BEE015A"/>
    <w:rsid w:val="1C033E58"/>
    <w:rsid w:val="1C041EE0"/>
    <w:rsid w:val="1C163B8C"/>
    <w:rsid w:val="1C295FB5"/>
    <w:rsid w:val="1C2A3ADB"/>
    <w:rsid w:val="1C2A7637"/>
    <w:rsid w:val="1C330A4C"/>
    <w:rsid w:val="1C3A1F70"/>
    <w:rsid w:val="1C3A5A50"/>
    <w:rsid w:val="1C450915"/>
    <w:rsid w:val="1C4E5A1B"/>
    <w:rsid w:val="1C66081D"/>
    <w:rsid w:val="1C821221"/>
    <w:rsid w:val="1C8256C5"/>
    <w:rsid w:val="1C8651B5"/>
    <w:rsid w:val="1C876837"/>
    <w:rsid w:val="1C99656B"/>
    <w:rsid w:val="1CB25FAA"/>
    <w:rsid w:val="1CEE4B08"/>
    <w:rsid w:val="1D012A8E"/>
    <w:rsid w:val="1D0600A4"/>
    <w:rsid w:val="1D1207F7"/>
    <w:rsid w:val="1D13456F"/>
    <w:rsid w:val="1D1722B1"/>
    <w:rsid w:val="1D1A76AB"/>
    <w:rsid w:val="1D1B27A9"/>
    <w:rsid w:val="1D210A3A"/>
    <w:rsid w:val="1D2247B2"/>
    <w:rsid w:val="1D293D92"/>
    <w:rsid w:val="1D646708"/>
    <w:rsid w:val="1D6557FB"/>
    <w:rsid w:val="1D7C2114"/>
    <w:rsid w:val="1D94745E"/>
    <w:rsid w:val="1DAD0520"/>
    <w:rsid w:val="1DAF6046"/>
    <w:rsid w:val="1DB96EC4"/>
    <w:rsid w:val="1DBB0E8E"/>
    <w:rsid w:val="1DC03651"/>
    <w:rsid w:val="1DC67833"/>
    <w:rsid w:val="1DCB6BF8"/>
    <w:rsid w:val="1DE101C9"/>
    <w:rsid w:val="1DF93765"/>
    <w:rsid w:val="1E1109C5"/>
    <w:rsid w:val="1E193E07"/>
    <w:rsid w:val="1E2527AC"/>
    <w:rsid w:val="1E276524"/>
    <w:rsid w:val="1E353469"/>
    <w:rsid w:val="1E396257"/>
    <w:rsid w:val="1E48649A"/>
    <w:rsid w:val="1E5D3CF4"/>
    <w:rsid w:val="1E6A4663"/>
    <w:rsid w:val="1E721450"/>
    <w:rsid w:val="1E7D57CF"/>
    <w:rsid w:val="1E91399D"/>
    <w:rsid w:val="1EB76E1F"/>
    <w:rsid w:val="1EBEBACC"/>
    <w:rsid w:val="1EBF7192"/>
    <w:rsid w:val="1EC83F41"/>
    <w:rsid w:val="1ED0096A"/>
    <w:rsid w:val="1EE2069D"/>
    <w:rsid w:val="1EE6018D"/>
    <w:rsid w:val="1EE61F3B"/>
    <w:rsid w:val="1EF0150B"/>
    <w:rsid w:val="1EF11CAE"/>
    <w:rsid w:val="1F0979D8"/>
    <w:rsid w:val="1F0C74C8"/>
    <w:rsid w:val="1F130856"/>
    <w:rsid w:val="1F212F73"/>
    <w:rsid w:val="1F282554"/>
    <w:rsid w:val="1F31751A"/>
    <w:rsid w:val="1F31F7A1"/>
    <w:rsid w:val="1F372797"/>
    <w:rsid w:val="1F3A5DE3"/>
    <w:rsid w:val="1F422EEA"/>
    <w:rsid w:val="1F702630"/>
    <w:rsid w:val="1F7E2174"/>
    <w:rsid w:val="1F7E4056"/>
    <w:rsid w:val="1F8A4FBC"/>
    <w:rsid w:val="1F9A0F77"/>
    <w:rsid w:val="1FA0658E"/>
    <w:rsid w:val="1FAA66A8"/>
    <w:rsid w:val="1FAA740D"/>
    <w:rsid w:val="1FBF4E55"/>
    <w:rsid w:val="1FC57DA2"/>
    <w:rsid w:val="1FC78CFF"/>
    <w:rsid w:val="1FD55B0C"/>
    <w:rsid w:val="1FE55C39"/>
    <w:rsid w:val="1FFC1957"/>
    <w:rsid w:val="20040FEB"/>
    <w:rsid w:val="20176124"/>
    <w:rsid w:val="202076CF"/>
    <w:rsid w:val="20340A84"/>
    <w:rsid w:val="20346CD6"/>
    <w:rsid w:val="203B1E13"/>
    <w:rsid w:val="20580C17"/>
    <w:rsid w:val="20971013"/>
    <w:rsid w:val="209E05F3"/>
    <w:rsid w:val="20AB74CF"/>
    <w:rsid w:val="20AF2801"/>
    <w:rsid w:val="20B47E17"/>
    <w:rsid w:val="21025026"/>
    <w:rsid w:val="2127683B"/>
    <w:rsid w:val="212A1E87"/>
    <w:rsid w:val="212D1CED"/>
    <w:rsid w:val="2136082C"/>
    <w:rsid w:val="214C62A1"/>
    <w:rsid w:val="21701FA9"/>
    <w:rsid w:val="2191541A"/>
    <w:rsid w:val="219537A4"/>
    <w:rsid w:val="219D08AB"/>
    <w:rsid w:val="21A1039B"/>
    <w:rsid w:val="21A97250"/>
    <w:rsid w:val="21B137D2"/>
    <w:rsid w:val="21B55BF5"/>
    <w:rsid w:val="21C36564"/>
    <w:rsid w:val="21C5052E"/>
    <w:rsid w:val="21C873EA"/>
    <w:rsid w:val="21E130F9"/>
    <w:rsid w:val="21EA7F94"/>
    <w:rsid w:val="21F759CD"/>
    <w:rsid w:val="2205092A"/>
    <w:rsid w:val="221072CF"/>
    <w:rsid w:val="2217240B"/>
    <w:rsid w:val="221B5564"/>
    <w:rsid w:val="221B63A0"/>
    <w:rsid w:val="221C32B7"/>
    <w:rsid w:val="221E2885"/>
    <w:rsid w:val="222A03BD"/>
    <w:rsid w:val="223F0934"/>
    <w:rsid w:val="22484CBB"/>
    <w:rsid w:val="224F1BA5"/>
    <w:rsid w:val="225B49EE"/>
    <w:rsid w:val="22600256"/>
    <w:rsid w:val="22602004"/>
    <w:rsid w:val="22617B2B"/>
    <w:rsid w:val="2266371B"/>
    <w:rsid w:val="227B643E"/>
    <w:rsid w:val="22803907"/>
    <w:rsid w:val="22835CF3"/>
    <w:rsid w:val="229C0B63"/>
    <w:rsid w:val="22A719E1"/>
    <w:rsid w:val="22AC2254"/>
    <w:rsid w:val="22AE7071"/>
    <w:rsid w:val="22B660C8"/>
    <w:rsid w:val="22B850EC"/>
    <w:rsid w:val="22BF02BB"/>
    <w:rsid w:val="22E5250A"/>
    <w:rsid w:val="22F4099F"/>
    <w:rsid w:val="22F56BF1"/>
    <w:rsid w:val="230742D9"/>
    <w:rsid w:val="23101417"/>
    <w:rsid w:val="23377209"/>
    <w:rsid w:val="2338088B"/>
    <w:rsid w:val="233F60BE"/>
    <w:rsid w:val="23406771"/>
    <w:rsid w:val="23531B69"/>
    <w:rsid w:val="23575131"/>
    <w:rsid w:val="236773C3"/>
    <w:rsid w:val="2369313B"/>
    <w:rsid w:val="23711FEF"/>
    <w:rsid w:val="23735D67"/>
    <w:rsid w:val="23751ADF"/>
    <w:rsid w:val="238241FC"/>
    <w:rsid w:val="2389558B"/>
    <w:rsid w:val="23A6613D"/>
    <w:rsid w:val="23C10881"/>
    <w:rsid w:val="23C87E61"/>
    <w:rsid w:val="23F76998"/>
    <w:rsid w:val="24084702"/>
    <w:rsid w:val="241906BD"/>
    <w:rsid w:val="24194B61"/>
    <w:rsid w:val="241C7B3C"/>
    <w:rsid w:val="242552B4"/>
    <w:rsid w:val="242B24DF"/>
    <w:rsid w:val="242B6642"/>
    <w:rsid w:val="242D7C97"/>
    <w:rsid w:val="24480FA2"/>
    <w:rsid w:val="2454465C"/>
    <w:rsid w:val="245B6F27"/>
    <w:rsid w:val="245E2574"/>
    <w:rsid w:val="245F009A"/>
    <w:rsid w:val="2463402E"/>
    <w:rsid w:val="246A291B"/>
    <w:rsid w:val="246A53BC"/>
    <w:rsid w:val="246C4E83"/>
    <w:rsid w:val="247973AD"/>
    <w:rsid w:val="24853FA4"/>
    <w:rsid w:val="248A5117"/>
    <w:rsid w:val="24AA7567"/>
    <w:rsid w:val="24BF7782"/>
    <w:rsid w:val="24C525F3"/>
    <w:rsid w:val="24C820E3"/>
    <w:rsid w:val="24CC5CC8"/>
    <w:rsid w:val="24D317D8"/>
    <w:rsid w:val="24D740D4"/>
    <w:rsid w:val="24DB5972"/>
    <w:rsid w:val="24E4313E"/>
    <w:rsid w:val="24E707BB"/>
    <w:rsid w:val="24EE26FA"/>
    <w:rsid w:val="24EF141E"/>
    <w:rsid w:val="24EF7670"/>
    <w:rsid w:val="25056E93"/>
    <w:rsid w:val="250C1FD0"/>
    <w:rsid w:val="2524556B"/>
    <w:rsid w:val="25270BB7"/>
    <w:rsid w:val="25317C88"/>
    <w:rsid w:val="254E083A"/>
    <w:rsid w:val="254E25E8"/>
    <w:rsid w:val="2560231B"/>
    <w:rsid w:val="257007B0"/>
    <w:rsid w:val="25755DC7"/>
    <w:rsid w:val="25A22934"/>
    <w:rsid w:val="25AE3087"/>
    <w:rsid w:val="25BC57A4"/>
    <w:rsid w:val="25BF7042"/>
    <w:rsid w:val="25CE54D7"/>
    <w:rsid w:val="25DC7BF4"/>
    <w:rsid w:val="25EB42DB"/>
    <w:rsid w:val="25F45C2B"/>
    <w:rsid w:val="2601765A"/>
    <w:rsid w:val="260D4251"/>
    <w:rsid w:val="261B5FC0"/>
    <w:rsid w:val="26243349"/>
    <w:rsid w:val="263C68E5"/>
    <w:rsid w:val="264B5097"/>
    <w:rsid w:val="264D28A0"/>
    <w:rsid w:val="266B541C"/>
    <w:rsid w:val="2674607E"/>
    <w:rsid w:val="2681079B"/>
    <w:rsid w:val="2694227D"/>
    <w:rsid w:val="26B31186"/>
    <w:rsid w:val="26C012C4"/>
    <w:rsid w:val="26C8461C"/>
    <w:rsid w:val="26D66D39"/>
    <w:rsid w:val="26D905D7"/>
    <w:rsid w:val="26FB22FC"/>
    <w:rsid w:val="26FB6832"/>
    <w:rsid w:val="27090EBD"/>
    <w:rsid w:val="270A69E3"/>
    <w:rsid w:val="271433BD"/>
    <w:rsid w:val="27174C5C"/>
    <w:rsid w:val="273B4DEE"/>
    <w:rsid w:val="2749087A"/>
    <w:rsid w:val="27604855"/>
    <w:rsid w:val="277125BE"/>
    <w:rsid w:val="27767BD4"/>
    <w:rsid w:val="277976C4"/>
    <w:rsid w:val="277F117F"/>
    <w:rsid w:val="279462AC"/>
    <w:rsid w:val="279938C3"/>
    <w:rsid w:val="279D36C4"/>
    <w:rsid w:val="27A6670B"/>
    <w:rsid w:val="27AF685B"/>
    <w:rsid w:val="27BA5D13"/>
    <w:rsid w:val="27C15443"/>
    <w:rsid w:val="27C546B8"/>
    <w:rsid w:val="27C841EF"/>
    <w:rsid w:val="27E65076"/>
    <w:rsid w:val="27F07987"/>
    <w:rsid w:val="27F3508A"/>
    <w:rsid w:val="27FA25B3"/>
    <w:rsid w:val="280F62F4"/>
    <w:rsid w:val="281F201A"/>
    <w:rsid w:val="2832599F"/>
    <w:rsid w:val="283755B5"/>
    <w:rsid w:val="28397580"/>
    <w:rsid w:val="283D6944"/>
    <w:rsid w:val="28491B06"/>
    <w:rsid w:val="285223EF"/>
    <w:rsid w:val="2859377E"/>
    <w:rsid w:val="287560DE"/>
    <w:rsid w:val="287C56BE"/>
    <w:rsid w:val="28970D62"/>
    <w:rsid w:val="28C130D1"/>
    <w:rsid w:val="28ED0B6A"/>
    <w:rsid w:val="28F2772E"/>
    <w:rsid w:val="29004BEE"/>
    <w:rsid w:val="29053906"/>
    <w:rsid w:val="292673D8"/>
    <w:rsid w:val="29301AA6"/>
    <w:rsid w:val="29542197"/>
    <w:rsid w:val="295757E3"/>
    <w:rsid w:val="29736AD1"/>
    <w:rsid w:val="297F5466"/>
    <w:rsid w:val="29890D1D"/>
    <w:rsid w:val="29954C89"/>
    <w:rsid w:val="299D58EC"/>
    <w:rsid w:val="29A70519"/>
    <w:rsid w:val="29B570DA"/>
    <w:rsid w:val="29BF1D06"/>
    <w:rsid w:val="29C42E79"/>
    <w:rsid w:val="29C54E43"/>
    <w:rsid w:val="29DF4157"/>
    <w:rsid w:val="29EC6874"/>
    <w:rsid w:val="29FD45DD"/>
    <w:rsid w:val="29FD638B"/>
    <w:rsid w:val="2A0E1995"/>
    <w:rsid w:val="2A1A6F3D"/>
    <w:rsid w:val="2A1F09F7"/>
    <w:rsid w:val="2A1F68E6"/>
    <w:rsid w:val="2A202079"/>
    <w:rsid w:val="2A2B739C"/>
    <w:rsid w:val="2A3873C3"/>
    <w:rsid w:val="2A3E7CBA"/>
    <w:rsid w:val="2A3F4BF5"/>
    <w:rsid w:val="2A424DAF"/>
    <w:rsid w:val="2A707334"/>
    <w:rsid w:val="2A720B27"/>
    <w:rsid w:val="2A756869"/>
    <w:rsid w:val="2A783C63"/>
    <w:rsid w:val="2A7F3244"/>
    <w:rsid w:val="2AA1140C"/>
    <w:rsid w:val="2AA67E09"/>
    <w:rsid w:val="2AD27817"/>
    <w:rsid w:val="2AE01F34"/>
    <w:rsid w:val="2AE412F9"/>
    <w:rsid w:val="2AE632C3"/>
    <w:rsid w:val="2AF7102C"/>
    <w:rsid w:val="2AF92FF6"/>
    <w:rsid w:val="2B02634F"/>
    <w:rsid w:val="2B0F6376"/>
    <w:rsid w:val="2B1575E3"/>
    <w:rsid w:val="2B223EF2"/>
    <w:rsid w:val="2B400C25"/>
    <w:rsid w:val="2B427BBF"/>
    <w:rsid w:val="2B471FB3"/>
    <w:rsid w:val="2B593A95"/>
    <w:rsid w:val="2B6042B1"/>
    <w:rsid w:val="2B674404"/>
    <w:rsid w:val="2B6F5066"/>
    <w:rsid w:val="2B797C93"/>
    <w:rsid w:val="2B7B3A0B"/>
    <w:rsid w:val="2B836D64"/>
    <w:rsid w:val="2B866286"/>
    <w:rsid w:val="2B88437A"/>
    <w:rsid w:val="2B944ACD"/>
    <w:rsid w:val="2B95018C"/>
    <w:rsid w:val="2B996587"/>
    <w:rsid w:val="2B9B5E5B"/>
    <w:rsid w:val="2BA751EA"/>
    <w:rsid w:val="2BB60EE7"/>
    <w:rsid w:val="2BBF51E4"/>
    <w:rsid w:val="2BC11E13"/>
    <w:rsid w:val="2BD870AF"/>
    <w:rsid w:val="2BDB094E"/>
    <w:rsid w:val="2BDD749A"/>
    <w:rsid w:val="2BE05FF3"/>
    <w:rsid w:val="2BFB4B4C"/>
    <w:rsid w:val="2C0003B4"/>
    <w:rsid w:val="2C251BC9"/>
    <w:rsid w:val="2C29790B"/>
    <w:rsid w:val="2C2E0A7D"/>
    <w:rsid w:val="2C3342E6"/>
    <w:rsid w:val="2C42277B"/>
    <w:rsid w:val="2C491D5B"/>
    <w:rsid w:val="2C55425C"/>
    <w:rsid w:val="2C5801F0"/>
    <w:rsid w:val="2C5F50DB"/>
    <w:rsid w:val="2C610E53"/>
    <w:rsid w:val="2C697D08"/>
    <w:rsid w:val="2C73502A"/>
    <w:rsid w:val="2C7768C8"/>
    <w:rsid w:val="2C9F3729"/>
    <w:rsid w:val="2CA57030"/>
    <w:rsid w:val="2CBA67B5"/>
    <w:rsid w:val="2CC4142B"/>
    <w:rsid w:val="2CCD5CDD"/>
    <w:rsid w:val="2CD258AD"/>
    <w:rsid w:val="2CDA3039"/>
    <w:rsid w:val="2CF215A6"/>
    <w:rsid w:val="2CFE2B46"/>
    <w:rsid w:val="2D1934DC"/>
    <w:rsid w:val="2D1E0AF2"/>
    <w:rsid w:val="2D1F486A"/>
    <w:rsid w:val="2D2325AC"/>
    <w:rsid w:val="2D297497"/>
    <w:rsid w:val="2D371BB4"/>
    <w:rsid w:val="2D3E2F42"/>
    <w:rsid w:val="2D465680"/>
    <w:rsid w:val="2D822664"/>
    <w:rsid w:val="2D8A262B"/>
    <w:rsid w:val="2D9C5EBB"/>
    <w:rsid w:val="2DB612A1"/>
    <w:rsid w:val="2DC23B73"/>
    <w:rsid w:val="2DCA0C7A"/>
    <w:rsid w:val="2DD9710F"/>
    <w:rsid w:val="2DEB702A"/>
    <w:rsid w:val="2DF857E7"/>
    <w:rsid w:val="2DF9330D"/>
    <w:rsid w:val="2E0A72C8"/>
    <w:rsid w:val="2E0C1292"/>
    <w:rsid w:val="2E1B7727"/>
    <w:rsid w:val="2E204D3E"/>
    <w:rsid w:val="2E210A49"/>
    <w:rsid w:val="2E2A1718"/>
    <w:rsid w:val="2E4B3B69"/>
    <w:rsid w:val="2E5844D8"/>
    <w:rsid w:val="2E5F196A"/>
    <w:rsid w:val="2E6C1D31"/>
    <w:rsid w:val="2E7110F5"/>
    <w:rsid w:val="2E975000"/>
    <w:rsid w:val="2E976651"/>
    <w:rsid w:val="2E9B6172"/>
    <w:rsid w:val="2EC61441"/>
    <w:rsid w:val="2ED72E9E"/>
    <w:rsid w:val="2ED81174"/>
    <w:rsid w:val="2EE61ACE"/>
    <w:rsid w:val="2EE713B8"/>
    <w:rsid w:val="2EF22236"/>
    <w:rsid w:val="2EFC1307"/>
    <w:rsid w:val="2F067A90"/>
    <w:rsid w:val="2F0D0E1E"/>
    <w:rsid w:val="2F124686"/>
    <w:rsid w:val="2F1B151A"/>
    <w:rsid w:val="2F1E302B"/>
    <w:rsid w:val="2F391C13"/>
    <w:rsid w:val="2F4F559B"/>
    <w:rsid w:val="2F5073C2"/>
    <w:rsid w:val="2F772DD4"/>
    <w:rsid w:val="2F8310E0"/>
    <w:rsid w:val="2F837332"/>
    <w:rsid w:val="2F8A6FE8"/>
    <w:rsid w:val="2FA1773B"/>
    <w:rsid w:val="2FA507F3"/>
    <w:rsid w:val="2FA8323D"/>
    <w:rsid w:val="2FD656B4"/>
    <w:rsid w:val="2FDD2EE6"/>
    <w:rsid w:val="2FDE6C5E"/>
    <w:rsid w:val="2FE853E7"/>
    <w:rsid w:val="2FFF2B2A"/>
    <w:rsid w:val="300264A9"/>
    <w:rsid w:val="301B57BD"/>
    <w:rsid w:val="301E3D63"/>
    <w:rsid w:val="30226B4B"/>
    <w:rsid w:val="3029612C"/>
    <w:rsid w:val="302979C1"/>
    <w:rsid w:val="302F1268"/>
    <w:rsid w:val="30314FE0"/>
    <w:rsid w:val="3038636F"/>
    <w:rsid w:val="303E0A07"/>
    <w:rsid w:val="305A3B95"/>
    <w:rsid w:val="306058C5"/>
    <w:rsid w:val="306E0D35"/>
    <w:rsid w:val="30731155"/>
    <w:rsid w:val="308E2433"/>
    <w:rsid w:val="309537C1"/>
    <w:rsid w:val="309F63EE"/>
    <w:rsid w:val="30A367D5"/>
    <w:rsid w:val="30BF439A"/>
    <w:rsid w:val="30C16364"/>
    <w:rsid w:val="30D00355"/>
    <w:rsid w:val="30F93D50"/>
    <w:rsid w:val="30FE3991"/>
    <w:rsid w:val="310821E5"/>
    <w:rsid w:val="310E0E7D"/>
    <w:rsid w:val="3112096E"/>
    <w:rsid w:val="312D0FFD"/>
    <w:rsid w:val="31310C4D"/>
    <w:rsid w:val="315471D8"/>
    <w:rsid w:val="3159659D"/>
    <w:rsid w:val="316B62D0"/>
    <w:rsid w:val="318B6972"/>
    <w:rsid w:val="318F0210"/>
    <w:rsid w:val="31927D00"/>
    <w:rsid w:val="31943A79"/>
    <w:rsid w:val="319E0453"/>
    <w:rsid w:val="31A041CB"/>
    <w:rsid w:val="31A17F44"/>
    <w:rsid w:val="31B859B9"/>
    <w:rsid w:val="31C37EBA"/>
    <w:rsid w:val="31D45E2B"/>
    <w:rsid w:val="31D870DD"/>
    <w:rsid w:val="31E85B72"/>
    <w:rsid w:val="31F14A27"/>
    <w:rsid w:val="31FC517A"/>
    <w:rsid w:val="31FE7144"/>
    <w:rsid w:val="3203475A"/>
    <w:rsid w:val="320C4E1B"/>
    <w:rsid w:val="320F1351"/>
    <w:rsid w:val="32252923"/>
    <w:rsid w:val="32364B30"/>
    <w:rsid w:val="32422633"/>
    <w:rsid w:val="324A4137"/>
    <w:rsid w:val="32543208"/>
    <w:rsid w:val="3268280F"/>
    <w:rsid w:val="32794A1C"/>
    <w:rsid w:val="327B0795"/>
    <w:rsid w:val="32A55811"/>
    <w:rsid w:val="32A63A63"/>
    <w:rsid w:val="32C24615"/>
    <w:rsid w:val="32CA4316"/>
    <w:rsid w:val="32D0288E"/>
    <w:rsid w:val="32D14367"/>
    <w:rsid w:val="32DA370D"/>
    <w:rsid w:val="32EB3B6C"/>
    <w:rsid w:val="32EC3440"/>
    <w:rsid w:val="32F12805"/>
    <w:rsid w:val="32FF3914"/>
    <w:rsid w:val="33122EA7"/>
    <w:rsid w:val="331C5AD4"/>
    <w:rsid w:val="331F06CE"/>
    <w:rsid w:val="33242BDA"/>
    <w:rsid w:val="332A5B91"/>
    <w:rsid w:val="333C43C8"/>
    <w:rsid w:val="333E1FA3"/>
    <w:rsid w:val="33653D68"/>
    <w:rsid w:val="33751688"/>
    <w:rsid w:val="33775400"/>
    <w:rsid w:val="337C6572"/>
    <w:rsid w:val="33813B89"/>
    <w:rsid w:val="33993FFC"/>
    <w:rsid w:val="339C6C14"/>
    <w:rsid w:val="33EB1C4D"/>
    <w:rsid w:val="342F19A0"/>
    <w:rsid w:val="3431735D"/>
    <w:rsid w:val="344519DA"/>
    <w:rsid w:val="34471A3D"/>
    <w:rsid w:val="344E43B3"/>
    <w:rsid w:val="346516FC"/>
    <w:rsid w:val="346F257B"/>
    <w:rsid w:val="347D25A2"/>
    <w:rsid w:val="348E47AF"/>
    <w:rsid w:val="348E6CC8"/>
    <w:rsid w:val="349124F1"/>
    <w:rsid w:val="349B511E"/>
    <w:rsid w:val="34A35D81"/>
    <w:rsid w:val="34A43FD3"/>
    <w:rsid w:val="34AE6BFF"/>
    <w:rsid w:val="34AF2AA7"/>
    <w:rsid w:val="34BB756E"/>
    <w:rsid w:val="34D10B40"/>
    <w:rsid w:val="34E42621"/>
    <w:rsid w:val="34E95E89"/>
    <w:rsid w:val="350129DC"/>
    <w:rsid w:val="35026F4B"/>
    <w:rsid w:val="35101668"/>
    <w:rsid w:val="351F7AFD"/>
    <w:rsid w:val="353A4829"/>
    <w:rsid w:val="353F7E9C"/>
    <w:rsid w:val="35447564"/>
    <w:rsid w:val="35496928"/>
    <w:rsid w:val="355E29A1"/>
    <w:rsid w:val="355F7EFA"/>
    <w:rsid w:val="356419B4"/>
    <w:rsid w:val="356C2617"/>
    <w:rsid w:val="35725E7F"/>
    <w:rsid w:val="35812566"/>
    <w:rsid w:val="3586192A"/>
    <w:rsid w:val="358B6F41"/>
    <w:rsid w:val="358F4C83"/>
    <w:rsid w:val="359C73A0"/>
    <w:rsid w:val="35A3428A"/>
    <w:rsid w:val="35B46497"/>
    <w:rsid w:val="35C12962"/>
    <w:rsid w:val="35C16E06"/>
    <w:rsid w:val="35D845F9"/>
    <w:rsid w:val="35D97CAC"/>
    <w:rsid w:val="35DC779C"/>
    <w:rsid w:val="35EB79DF"/>
    <w:rsid w:val="36064819"/>
    <w:rsid w:val="36121410"/>
    <w:rsid w:val="361956B6"/>
    <w:rsid w:val="36266C69"/>
    <w:rsid w:val="36462E68"/>
    <w:rsid w:val="36527A5E"/>
    <w:rsid w:val="36545584"/>
    <w:rsid w:val="365856F6"/>
    <w:rsid w:val="36726B1F"/>
    <w:rsid w:val="36A47A17"/>
    <w:rsid w:val="36B83D65"/>
    <w:rsid w:val="36BB5604"/>
    <w:rsid w:val="36C8611B"/>
    <w:rsid w:val="36D6068F"/>
    <w:rsid w:val="36DA1F2E"/>
    <w:rsid w:val="36E44B5A"/>
    <w:rsid w:val="36EA5EE9"/>
    <w:rsid w:val="36FD5C1C"/>
    <w:rsid w:val="37046FAB"/>
    <w:rsid w:val="37074CED"/>
    <w:rsid w:val="370E607B"/>
    <w:rsid w:val="37113475"/>
    <w:rsid w:val="37184804"/>
    <w:rsid w:val="371F2036"/>
    <w:rsid w:val="37215DAE"/>
    <w:rsid w:val="372633C5"/>
    <w:rsid w:val="37275F79"/>
    <w:rsid w:val="37307DA0"/>
    <w:rsid w:val="37321D6A"/>
    <w:rsid w:val="37423DB7"/>
    <w:rsid w:val="37476742"/>
    <w:rsid w:val="375B2943"/>
    <w:rsid w:val="37607AED"/>
    <w:rsid w:val="37607F59"/>
    <w:rsid w:val="377756FB"/>
    <w:rsid w:val="377D76A5"/>
    <w:rsid w:val="377F0D27"/>
    <w:rsid w:val="37824373"/>
    <w:rsid w:val="3784633D"/>
    <w:rsid w:val="378B6FC9"/>
    <w:rsid w:val="3793032E"/>
    <w:rsid w:val="379640D5"/>
    <w:rsid w:val="379F18A7"/>
    <w:rsid w:val="37A442EA"/>
    <w:rsid w:val="37AE6F16"/>
    <w:rsid w:val="37B81B43"/>
    <w:rsid w:val="37BE3A1B"/>
    <w:rsid w:val="37C16C4A"/>
    <w:rsid w:val="37CD1A92"/>
    <w:rsid w:val="3800089E"/>
    <w:rsid w:val="38066D52"/>
    <w:rsid w:val="380B1D9A"/>
    <w:rsid w:val="38174ABC"/>
    <w:rsid w:val="3825542A"/>
    <w:rsid w:val="38367638"/>
    <w:rsid w:val="384B0DED"/>
    <w:rsid w:val="385950D4"/>
    <w:rsid w:val="385D7037"/>
    <w:rsid w:val="386677F1"/>
    <w:rsid w:val="386C12AB"/>
    <w:rsid w:val="3885236D"/>
    <w:rsid w:val="389425B0"/>
    <w:rsid w:val="3894435E"/>
    <w:rsid w:val="3894610C"/>
    <w:rsid w:val="38A24CCD"/>
    <w:rsid w:val="38A42F3A"/>
    <w:rsid w:val="38AC16A8"/>
    <w:rsid w:val="38AC5B4C"/>
    <w:rsid w:val="38AD71CE"/>
    <w:rsid w:val="38B22A36"/>
    <w:rsid w:val="38B44A00"/>
    <w:rsid w:val="38C56C0D"/>
    <w:rsid w:val="38DE55D9"/>
    <w:rsid w:val="38E21CF2"/>
    <w:rsid w:val="38E30E42"/>
    <w:rsid w:val="38F10CF7"/>
    <w:rsid w:val="38F372D7"/>
    <w:rsid w:val="39200EA7"/>
    <w:rsid w:val="3930052B"/>
    <w:rsid w:val="39300815"/>
    <w:rsid w:val="393802F5"/>
    <w:rsid w:val="393D49F6"/>
    <w:rsid w:val="396360C2"/>
    <w:rsid w:val="39785A2E"/>
    <w:rsid w:val="3989662F"/>
    <w:rsid w:val="398C14D9"/>
    <w:rsid w:val="399B1433"/>
    <w:rsid w:val="39A14F85"/>
    <w:rsid w:val="39A9639C"/>
    <w:rsid w:val="39AD2179"/>
    <w:rsid w:val="39B76556"/>
    <w:rsid w:val="39C26CA9"/>
    <w:rsid w:val="39CB0253"/>
    <w:rsid w:val="39CE38A0"/>
    <w:rsid w:val="39D32C64"/>
    <w:rsid w:val="39DC7D6B"/>
    <w:rsid w:val="39EC3D26"/>
    <w:rsid w:val="39ED01CA"/>
    <w:rsid w:val="39F33DB8"/>
    <w:rsid w:val="39F96249"/>
    <w:rsid w:val="39F96B6F"/>
    <w:rsid w:val="3A26548A"/>
    <w:rsid w:val="3A3A2CE3"/>
    <w:rsid w:val="3A4678DA"/>
    <w:rsid w:val="3A577D39"/>
    <w:rsid w:val="3A60099C"/>
    <w:rsid w:val="3A654204"/>
    <w:rsid w:val="3A777A93"/>
    <w:rsid w:val="3A8A5A19"/>
    <w:rsid w:val="3A9E14C4"/>
    <w:rsid w:val="3ACA4067"/>
    <w:rsid w:val="3AE710BD"/>
    <w:rsid w:val="3AFFC741"/>
    <w:rsid w:val="3B005CDB"/>
    <w:rsid w:val="3B07350D"/>
    <w:rsid w:val="3B0C4680"/>
    <w:rsid w:val="3B0D0FD9"/>
    <w:rsid w:val="3B1829FB"/>
    <w:rsid w:val="3B3E6803"/>
    <w:rsid w:val="3B3FFCFD"/>
    <w:rsid w:val="3B5A188F"/>
    <w:rsid w:val="3B5F0C53"/>
    <w:rsid w:val="3B5F38BE"/>
    <w:rsid w:val="3B651FE2"/>
    <w:rsid w:val="3B7D557D"/>
    <w:rsid w:val="3B844B5E"/>
    <w:rsid w:val="3B891752"/>
    <w:rsid w:val="3B8C30C5"/>
    <w:rsid w:val="3B934DA1"/>
    <w:rsid w:val="3B985F13"/>
    <w:rsid w:val="3B9D4080"/>
    <w:rsid w:val="3BAE1BDB"/>
    <w:rsid w:val="3BB52F69"/>
    <w:rsid w:val="3BBA40DC"/>
    <w:rsid w:val="3BBF16F2"/>
    <w:rsid w:val="3BDC22A4"/>
    <w:rsid w:val="3BE461AE"/>
    <w:rsid w:val="3BEB24E7"/>
    <w:rsid w:val="3BEE0229"/>
    <w:rsid w:val="3BF75330"/>
    <w:rsid w:val="3BFFC5AA"/>
    <w:rsid w:val="3C265C15"/>
    <w:rsid w:val="3C4741CA"/>
    <w:rsid w:val="3C5F2ED5"/>
    <w:rsid w:val="3C720E5A"/>
    <w:rsid w:val="3C73C9D8"/>
    <w:rsid w:val="3C842F63"/>
    <w:rsid w:val="3C8A61A4"/>
    <w:rsid w:val="3C922F39"/>
    <w:rsid w:val="3C925059"/>
    <w:rsid w:val="3C991F43"/>
    <w:rsid w:val="3CA3403D"/>
    <w:rsid w:val="3CA54D8C"/>
    <w:rsid w:val="3CAA4150"/>
    <w:rsid w:val="3CAB308A"/>
    <w:rsid w:val="3CAF1767"/>
    <w:rsid w:val="3CB274A9"/>
    <w:rsid w:val="3CCF005B"/>
    <w:rsid w:val="3CDD7461"/>
    <w:rsid w:val="3CE84C78"/>
    <w:rsid w:val="3CFD6976"/>
    <w:rsid w:val="3D06174C"/>
    <w:rsid w:val="3D0A1843"/>
    <w:rsid w:val="3D193084"/>
    <w:rsid w:val="3D2263DC"/>
    <w:rsid w:val="3D233F03"/>
    <w:rsid w:val="3D2739F3"/>
    <w:rsid w:val="3D2832C7"/>
    <w:rsid w:val="3D3D6D72"/>
    <w:rsid w:val="3D4E71D1"/>
    <w:rsid w:val="3D5347E8"/>
    <w:rsid w:val="3D6469F5"/>
    <w:rsid w:val="3D6A7D83"/>
    <w:rsid w:val="3D7D3613"/>
    <w:rsid w:val="3D876254"/>
    <w:rsid w:val="3D913562"/>
    <w:rsid w:val="3D9A384D"/>
    <w:rsid w:val="3D9F6FDD"/>
    <w:rsid w:val="3DAF5796"/>
    <w:rsid w:val="3DCE20C0"/>
    <w:rsid w:val="3DDD67A7"/>
    <w:rsid w:val="3DED3D29"/>
    <w:rsid w:val="3DF24001"/>
    <w:rsid w:val="3E014244"/>
    <w:rsid w:val="3E033769"/>
    <w:rsid w:val="3E0B50C2"/>
    <w:rsid w:val="3E1F291C"/>
    <w:rsid w:val="3E227533"/>
    <w:rsid w:val="3E23240C"/>
    <w:rsid w:val="3E2972F7"/>
    <w:rsid w:val="3E2B7513"/>
    <w:rsid w:val="3E371D70"/>
    <w:rsid w:val="3E3A7756"/>
    <w:rsid w:val="3E522EB5"/>
    <w:rsid w:val="3E5A7DF8"/>
    <w:rsid w:val="3E734A16"/>
    <w:rsid w:val="3E8B7FB1"/>
    <w:rsid w:val="3E946E66"/>
    <w:rsid w:val="3EA66B99"/>
    <w:rsid w:val="3EB5502E"/>
    <w:rsid w:val="3EC7548D"/>
    <w:rsid w:val="3EDF3E59"/>
    <w:rsid w:val="3EE91D34"/>
    <w:rsid w:val="3EEA117C"/>
    <w:rsid w:val="3EFC0235"/>
    <w:rsid w:val="3F035D9A"/>
    <w:rsid w:val="3F051B12"/>
    <w:rsid w:val="3F0D6C18"/>
    <w:rsid w:val="3F214472"/>
    <w:rsid w:val="3F283A52"/>
    <w:rsid w:val="3F340649"/>
    <w:rsid w:val="3F3B8353"/>
    <w:rsid w:val="3F4343E8"/>
    <w:rsid w:val="3F4807FB"/>
    <w:rsid w:val="3F4F7231"/>
    <w:rsid w:val="3F566811"/>
    <w:rsid w:val="3F5B5BD6"/>
    <w:rsid w:val="3F6C182D"/>
    <w:rsid w:val="3F731171"/>
    <w:rsid w:val="3F7722E4"/>
    <w:rsid w:val="3F7B876D"/>
    <w:rsid w:val="3F874C1D"/>
    <w:rsid w:val="3F89400C"/>
    <w:rsid w:val="3FA05CDE"/>
    <w:rsid w:val="3FA70E1B"/>
    <w:rsid w:val="3FB7A5DE"/>
    <w:rsid w:val="3FC73934"/>
    <w:rsid w:val="3FD339BE"/>
    <w:rsid w:val="3FDE3206"/>
    <w:rsid w:val="3FE45BCB"/>
    <w:rsid w:val="3FE71217"/>
    <w:rsid w:val="3FE91433"/>
    <w:rsid w:val="3FEC2CD2"/>
    <w:rsid w:val="3FFB2F15"/>
    <w:rsid w:val="3FFD515A"/>
    <w:rsid w:val="40167D4F"/>
    <w:rsid w:val="401E3671"/>
    <w:rsid w:val="402204A1"/>
    <w:rsid w:val="40381A73"/>
    <w:rsid w:val="403A3A3D"/>
    <w:rsid w:val="4041301D"/>
    <w:rsid w:val="40491ED2"/>
    <w:rsid w:val="404B3E9C"/>
    <w:rsid w:val="4057639D"/>
    <w:rsid w:val="40730CFD"/>
    <w:rsid w:val="407F3B46"/>
    <w:rsid w:val="40980764"/>
    <w:rsid w:val="40AB493B"/>
    <w:rsid w:val="40AE42A3"/>
    <w:rsid w:val="40BA692C"/>
    <w:rsid w:val="40C8729B"/>
    <w:rsid w:val="40E35E83"/>
    <w:rsid w:val="40E67721"/>
    <w:rsid w:val="40F0234E"/>
    <w:rsid w:val="41004C87"/>
    <w:rsid w:val="41083B3B"/>
    <w:rsid w:val="411249BA"/>
    <w:rsid w:val="41132FEC"/>
    <w:rsid w:val="41166258"/>
    <w:rsid w:val="41173D7E"/>
    <w:rsid w:val="4125649B"/>
    <w:rsid w:val="412A1D04"/>
    <w:rsid w:val="41405083"/>
    <w:rsid w:val="41410DFB"/>
    <w:rsid w:val="4142326E"/>
    <w:rsid w:val="4142704D"/>
    <w:rsid w:val="4162324B"/>
    <w:rsid w:val="41676AB4"/>
    <w:rsid w:val="416E7E42"/>
    <w:rsid w:val="41AD023F"/>
    <w:rsid w:val="41B04259"/>
    <w:rsid w:val="41B1600A"/>
    <w:rsid w:val="41C06764"/>
    <w:rsid w:val="41D3555E"/>
    <w:rsid w:val="41D568DA"/>
    <w:rsid w:val="41EF0857"/>
    <w:rsid w:val="42022339"/>
    <w:rsid w:val="42164036"/>
    <w:rsid w:val="421F2EEA"/>
    <w:rsid w:val="422624CB"/>
    <w:rsid w:val="42293D69"/>
    <w:rsid w:val="422E5823"/>
    <w:rsid w:val="42312C1E"/>
    <w:rsid w:val="424E17F4"/>
    <w:rsid w:val="42641245"/>
    <w:rsid w:val="427E2307"/>
    <w:rsid w:val="429D6505"/>
    <w:rsid w:val="42A94EAA"/>
    <w:rsid w:val="42AD6748"/>
    <w:rsid w:val="42B06238"/>
    <w:rsid w:val="42C1169D"/>
    <w:rsid w:val="42D53EF1"/>
    <w:rsid w:val="42D75573"/>
    <w:rsid w:val="42E67EAC"/>
    <w:rsid w:val="42F00D2B"/>
    <w:rsid w:val="42F56341"/>
    <w:rsid w:val="43023191"/>
    <w:rsid w:val="431C38CE"/>
    <w:rsid w:val="434150E2"/>
    <w:rsid w:val="43503578"/>
    <w:rsid w:val="435C3CCA"/>
    <w:rsid w:val="436F39FE"/>
    <w:rsid w:val="43707776"/>
    <w:rsid w:val="43727AE8"/>
    <w:rsid w:val="43770B04"/>
    <w:rsid w:val="438A0837"/>
    <w:rsid w:val="43A01E09"/>
    <w:rsid w:val="43AD4526"/>
    <w:rsid w:val="43AF64F0"/>
    <w:rsid w:val="43B835F7"/>
    <w:rsid w:val="43C04259"/>
    <w:rsid w:val="43D93B74"/>
    <w:rsid w:val="43E73EDC"/>
    <w:rsid w:val="43EC32A0"/>
    <w:rsid w:val="43EF2D90"/>
    <w:rsid w:val="43F05E44"/>
    <w:rsid w:val="43F959BD"/>
    <w:rsid w:val="43FB1D2B"/>
    <w:rsid w:val="44020D16"/>
    <w:rsid w:val="44136A7F"/>
    <w:rsid w:val="44185E43"/>
    <w:rsid w:val="442C2DE1"/>
    <w:rsid w:val="442D4F36"/>
    <w:rsid w:val="4440539A"/>
    <w:rsid w:val="44646F6D"/>
    <w:rsid w:val="44692B43"/>
    <w:rsid w:val="449A71A0"/>
    <w:rsid w:val="44A1052F"/>
    <w:rsid w:val="44AF41B4"/>
    <w:rsid w:val="44B87626"/>
    <w:rsid w:val="44BD69EB"/>
    <w:rsid w:val="44C47D79"/>
    <w:rsid w:val="44CD2D65"/>
    <w:rsid w:val="44CE29A6"/>
    <w:rsid w:val="44CE6E4A"/>
    <w:rsid w:val="44DA759D"/>
    <w:rsid w:val="44E93C84"/>
    <w:rsid w:val="44EA5EFB"/>
    <w:rsid w:val="44F95853"/>
    <w:rsid w:val="4508410A"/>
    <w:rsid w:val="45230F44"/>
    <w:rsid w:val="45294080"/>
    <w:rsid w:val="452D3B70"/>
    <w:rsid w:val="45505AB1"/>
    <w:rsid w:val="456158F9"/>
    <w:rsid w:val="456B4699"/>
    <w:rsid w:val="456D6663"/>
    <w:rsid w:val="4574354D"/>
    <w:rsid w:val="458C4680"/>
    <w:rsid w:val="458C4D3B"/>
    <w:rsid w:val="459040FF"/>
    <w:rsid w:val="45906A27"/>
    <w:rsid w:val="4594599D"/>
    <w:rsid w:val="459534C4"/>
    <w:rsid w:val="459B4F7E"/>
    <w:rsid w:val="45A831F7"/>
    <w:rsid w:val="45AF0A29"/>
    <w:rsid w:val="45C04592"/>
    <w:rsid w:val="45CC3389"/>
    <w:rsid w:val="45CC5137"/>
    <w:rsid w:val="45D3296A"/>
    <w:rsid w:val="45D87F80"/>
    <w:rsid w:val="45EF52CA"/>
    <w:rsid w:val="46001285"/>
    <w:rsid w:val="4614088C"/>
    <w:rsid w:val="461940F5"/>
    <w:rsid w:val="46207231"/>
    <w:rsid w:val="46357180"/>
    <w:rsid w:val="46394F03"/>
    <w:rsid w:val="46396545"/>
    <w:rsid w:val="46445615"/>
    <w:rsid w:val="46674E60"/>
    <w:rsid w:val="46767799"/>
    <w:rsid w:val="4695585D"/>
    <w:rsid w:val="46B02CAB"/>
    <w:rsid w:val="46B300A5"/>
    <w:rsid w:val="46EB783F"/>
    <w:rsid w:val="46FD57C4"/>
    <w:rsid w:val="47046B53"/>
    <w:rsid w:val="472745EF"/>
    <w:rsid w:val="474606F2"/>
    <w:rsid w:val="474A1856"/>
    <w:rsid w:val="477041E8"/>
    <w:rsid w:val="47863161"/>
    <w:rsid w:val="47A0687C"/>
    <w:rsid w:val="47CA1B4A"/>
    <w:rsid w:val="47E50732"/>
    <w:rsid w:val="47FE7A46"/>
    <w:rsid w:val="48094F09"/>
    <w:rsid w:val="480A63EB"/>
    <w:rsid w:val="484D6C28"/>
    <w:rsid w:val="486024AF"/>
    <w:rsid w:val="48677399"/>
    <w:rsid w:val="4876635A"/>
    <w:rsid w:val="48783354"/>
    <w:rsid w:val="487A3570"/>
    <w:rsid w:val="48831CF9"/>
    <w:rsid w:val="488C5052"/>
    <w:rsid w:val="48AB197C"/>
    <w:rsid w:val="48AC1250"/>
    <w:rsid w:val="48C87F22"/>
    <w:rsid w:val="48E46C3C"/>
    <w:rsid w:val="48EF7A5C"/>
    <w:rsid w:val="48FF3A76"/>
    <w:rsid w:val="49052248"/>
    <w:rsid w:val="491A440C"/>
    <w:rsid w:val="491C4628"/>
    <w:rsid w:val="49275184"/>
    <w:rsid w:val="49366D6C"/>
    <w:rsid w:val="49441489"/>
    <w:rsid w:val="49492F43"/>
    <w:rsid w:val="49557B3A"/>
    <w:rsid w:val="49575660"/>
    <w:rsid w:val="49667651"/>
    <w:rsid w:val="496B110B"/>
    <w:rsid w:val="496B7101"/>
    <w:rsid w:val="49942410"/>
    <w:rsid w:val="49A563CB"/>
    <w:rsid w:val="49AC3932"/>
    <w:rsid w:val="49B54134"/>
    <w:rsid w:val="49DE0681"/>
    <w:rsid w:val="49E1317B"/>
    <w:rsid w:val="49E50EBD"/>
    <w:rsid w:val="49F17862"/>
    <w:rsid w:val="49F66C27"/>
    <w:rsid w:val="4A2C089A"/>
    <w:rsid w:val="4A314103"/>
    <w:rsid w:val="4A4F4EC2"/>
    <w:rsid w:val="4A5120AF"/>
    <w:rsid w:val="4A525E27"/>
    <w:rsid w:val="4A8F4985"/>
    <w:rsid w:val="4A946440"/>
    <w:rsid w:val="4AA46683"/>
    <w:rsid w:val="4AA5064D"/>
    <w:rsid w:val="4AAA7A11"/>
    <w:rsid w:val="4AB443EC"/>
    <w:rsid w:val="4ABD3CCB"/>
    <w:rsid w:val="4AC22FAD"/>
    <w:rsid w:val="4AC705C3"/>
    <w:rsid w:val="4AD4683C"/>
    <w:rsid w:val="4ADF3B5F"/>
    <w:rsid w:val="4AE44CD1"/>
    <w:rsid w:val="4AEC2F7D"/>
    <w:rsid w:val="4B0E61F2"/>
    <w:rsid w:val="4B166E55"/>
    <w:rsid w:val="4B2C6678"/>
    <w:rsid w:val="4B34573C"/>
    <w:rsid w:val="4B3738BB"/>
    <w:rsid w:val="4B531E57"/>
    <w:rsid w:val="4B6422B6"/>
    <w:rsid w:val="4B693428"/>
    <w:rsid w:val="4B7A7170"/>
    <w:rsid w:val="4B7C315C"/>
    <w:rsid w:val="4B7C6BF7"/>
    <w:rsid w:val="4BB072A9"/>
    <w:rsid w:val="4BBA7099"/>
    <w:rsid w:val="4BCE772F"/>
    <w:rsid w:val="4BDA5388"/>
    <w:rsid w:val="4C07336D"/>
    <w:rsid w:val="4C0B2731"/>
    <w:rsid w:val="4C101AF6"/>
    <w:rsid w:val="4C2A0E0A"/>
    <w:rsid w:val="4C2A705C"/>
    <w:rsid w:val="4C3457E4"/>
    <w:rsid w:val="4C3E48B5"/>
    <w:rsid w:val="4C51283A"/>
    <w:rsid w:val="4C675BBA"/>
    <w:rsid w:val="4C6A56AA"/>
    <w:rsid w:val="4C6E6EBE"/>
    <w:rsid w:val="4C7B3413"/>
    <w:rsid w:val="4C942727"/>
    <w:rsid w:val="4CA30BBC"/>
    <w:rsid w:val="4CAB6AC5"/>
    <w:rsid w:val="4CCC1EC1"/>
    <w:rsid w:val="4CCE3E8B"/>
    <w:rsid w:val="4CDA2830"/>
    <w:rsid w:val="4CE4545C"/>
    <w:rsid w:val="4CE52F83"/>
    <w:rsid w:val="4CE865CF"/>
    <w:rsid w:val="4CFB5359"/>
    <w:rsid w:val="4D0E4287"/>
    <w:rsid w:val="4D16313C"/>
    <w:rsid w:val="4D1A2C2C"/>
    <w:rsid w:val="4D3A1520"/>
    <w:rsid w:val="4D4D1809"/>
    <w:rsid w:val="4D4E0B28"/>
    <w:rsid w:val="4D502AF2"/>
    <w:rsid w:val="4D812E59"/>
    <w:rsid w:val="4D8207D1"/>
    <w:rsid w:val="4D891B60"/>
    <w:rsid w:val="4D897DB2"/>
    <w:rsid w:val="4D9F3131"/>
    <w:rsid w:val="4DA25F0B"/>
    <w:rsid w:val="4DA77626"/>
    <w:rsid w:val="4DB36BDD"/>
    <w:rsid w:val="4DC62DB4"/>
    <w:rsid w:val="4DDD3C5A"/>
    <w:rsid w:val="4DF571F5"/>
    <w:rsid w:val="4DF80A94"/>
    <w:rsid w:val="4DFA2A5E"/>
    <w:rsid w:val="4E437F61"/>
    <w:rsid w:val="4E467A51"/>
    <w:rsid w:val="4E4A439A"/>
    <w:rsid w:val="4E7B7F6E"/>
    <w:rsid w:val="4E9B5FEF"/>
    <w:rsid w:val="4EB175C0"/>
    <w:rsid w:val="4ECF7A46"/>
    <w:rsid w:val="4ED92673"/>
    <w:rsid w:val="4EDB463D"/>
    <w:rsid w:val="4EF92D15"/>
    <w:rsid w:val="4F001BCC"/>
    <w:rsid w:val="4F0C47F7"/>
    <w:rsid w:val="4F132029"/>
    <w:rsid w:val="4F2204BE"/>
    <w:rsid w:val="4F4E4E0F"/>
    <w:rsid w:val="4F5218ED"/>
    <w:rsid w:val="4F583EE0"/>
    <w:rsid w:val="4F5F0DCA"/>
    <w:rsid w:val="4F5F526E"/>
    <w:rsid w:val="4F691C49"/>
    <w:rsid w:val="4F784888"/>
    <w:rsid w:val="4F8C3B89"/>
    <w:rsid w:val="4FA037F2"/>
    <w:rsid w:val="4FA26F09"/>
    <w:rsid w:val="4FC05F56"/>
    <w:rsid w:val="4FCB46B2"/>
    <w:rsid w:val="4FD74E04"/>
    <w:rsid w:val="4FDB5896"/>
    <w:rsid w:val="4FE41E54"/>
    <w:rsid w:val="4FEC63D6"/>
    <w:rsid w:val="4FF77255"/>
    <w:rsid w:val="4FFFE86B"/>
    <w:rsid w:val="50041972"/>
    <w:rsid w:val="501F0559"/>
    <w:rsid w:val="501F67AB"/>
    <w:rsid w:val="503B1837"/>
    <w:rsid w:val="504B75A0"/>
    <w:rsid w:val="504D3319"/>
    <w:rsid w:val="50504BB7"/>
    <w:rsid w:val="506568B4"/>
    <w:rsid w:val="506B7C43"/>
    <w:rsid w:val="507A1C34"/>
    <w:rsid w:val="507C775A"/>
    <w:rsid w:val="508036EE"/>
    <w:rsid w:val="50854860"/>
    <w:rsid w:val="5086682B"/>
    <w:rsid w:val="508D3093"/>
    <w:rsid w:val="509012EC"/>
    <w:rsid w:val="50962F12"/>
    <w:rsid w:val="50A3118B"/>
    <w:rsid w:val="50B43398"/>
    <w:rsid w:val="50BD2FA6"/>
    <w:rsid w:val="50C3182D"/>
    <w:rsid w:val="50C36D51"/>
    <w:rsid w:val="50E13A61"/>
    <w:rsid w:val="50EA0B67"/>
    <w:rsid w:val="50EF2622"/>
    <w:rsid w:val="51022355"/>
    <w:rsid w:val="511107EA"/>
    <w:rsid w:val="5119769F"/>
    <w:rsid w:val="512A5408"/>
    <w:rsid w:val="51360251"/>
    <w:rsid w:val="514566E6"/>
    <w:rsid w:val="5160707C"/>
    <w:rsid w:val="51721D7C"/>
    <w:rsid w:val="518965D2"/>
    <w:rsid w:val="518C60C3"/>
    <w:rsid w:val="51932FAD"/>
    <w:rsid w:val="519F5DF6"/>
    <w:rsid w:val="51A74479"/>
    <w:rsid w:val="51B03B5F"/>
    <w:rsid w:val="51B178D7"/>
    <w:rsid w:val="51B72F48"/>
    <w:rsid w:val="51BD627C"/>
    <w:rsid w:val="51D3784E"/>
    <w:rsid w:val="51F223CA"/>
    <w:rsid w:val="51F53C68"/>
    <w:rsid w:val="51F845EB"/>
    <w:rsid w:val="51FB360F"/>
    <w:rsid w:val="520B6FE7"/>
    <w:rsid w:val="521045FE"/>
    <w:rsid w:val="52147F1A"/>
    <w:rsid w:val="5217598C"/>
    <w:rsid w:val="521F2ACB"/>
    <w:rsid w:val="5221432D"/>
    <w:rsid w:val="523A2D1E"/>
    <w:rsid w:val="528172AA"/>
    <w:rsid w:val="528B0128"/>
    <w:rsid w:val="52911BE2"/>
    <w:rsid w:val="52943481"/>
    <w:rsid w:val="52A60F92"/>
    <w:rsid w:val="52B4142D"/>
    <w:rsid w:val="52B87542"/>
    <w:rsid w:val="52C11D9C"/>
    <w:rsid w:val="52CA29FF"/>
    <w:rsid w:val="52E212F5"/>
    <w:rsid w:val="52E8557B"/>
    <w:rsid w:val="52EA30A1"/>
    <w:rsid w:val="52EC506B"/>
    <w:rsid w:val="52ED493F"/>
    <w:rsid w:val="52EE71FB"/>
    <w:rsid w:val="53004672"/>
    <w:rsid w:val="53086CB4"/>
    <w:rsid w:val="530A54F1"/>
    <w:rsid w:val="530F48B5"/>
    <w:rsid w:val="531D3476"/>
    <w:rsid w:val="5338205E"/>
    <w:rsid w:val="53424C8B"/>
    <w:rsid w:val="534722A1"/>
    <w:rsid w:val="53524DED"/>
    <w:rsid w:val="535B7AFB"/>
    <w:rsid w:val="53855D69"/>
    <w:rsid w:val="538C6936"/>
    <w:rsid w:val="538E7ED0"/>
    <w:rsid w:val="53A139B4"/>
    <w:rsid w:val="53A771E4"/>
    <w:rsid w:val="53A86F18"/>
    <w:rsid w:val="53AB6CD4"/>
    <w:rsid w:val="53B37937"/>
    <w:rsid w:val="53B536AF"/>
    <w:rsid w:val="53B84F4D"/>
    <w:rsid w:val="53BB4A3D"/>
    <w:rsid w:val="53C41B44"/>
    <w:rsid w:val="53CB445D"/>
    <w:rsid w:val="53F71F19"/>
    <w:rsid w:val="54422A68"/>
    <w:rsid w:val="545F361A"/>
    <w:rsid w:val="546D5D37"/>
    <w:rsid w:val="547370C6"/>
    <w:rsid w:val="548270CF"/>
    <w:rsid w:val="548B2661"/>
    <w:rsid w:val="54901A26"/>
    <w:rsid w:val="549E64E1"/>
    <w:rsid w:val="54A11CE9"/>
    <w:rsid w:val="54A13C33"/>
    <w:rsid w:val="54AD25D8"/>
    <w:rsid w:val="54B971CF"/>
    <w:rsid w:val="54BB370D"/>
    <w:rsid w:val="54C65448"/>
    <w:rsid w:val="54D91622"/>
    <w:rsid w:val="54DC4C6B"/>
    <w:rsid w:val="54ED6E78"/>
    <w:rsid w:val="54F01D45"/>
    <w:rsid w:val="550541C2"/>
    <w:rsid w:val="55085A60"/>
    <w:rsid w:val="551C775D"/>
    <w:rsid w:val="552A3C28"/>
    <w:rsid w:val="55313209"/>
    <w:rsid w:val="55384597"/>
    <w:rsid w:val="554967A4"/>
    <w:rsid w:val="554E3DBB"/>
    <w:rsid w:val="556054B8"/>
    <w:rsid w:val="55690BF5"/>
    <w:rsid w:val="55760C1C"/>
    <w:rsid w:val="557E5D22"/>
    <w:rsid w:val="55891811"/>
    <w:rsid w:val="558A2919"/>
    <w:rsid w:val="558A46C7"/>
    <w:rsid w:val="558B7580"/>
    <w:rsid w:val="55937A20"/>
    <w:rsid w:val="55983288"/>
    <w:rsid w:val="55AD03B6"/>
    <w:rsid w:val="55DA73FC"/>
    <w:rsid w:val="55DB4F23"/>
    <w:rsid w:val="55DF4A13"/>
    <w:rsid w:val="55E22755"/>
    <w:rsid w:val="55E738C7"/>
    <w:rsid w:val="55EF6A29"/>
    <w:rsid w:val="55F06C20"/>
    <w:rsid w:val="56075D18"/>
    <w:rsid w:val="564927D4"/>
    <w:rsid w:val="56535401"/>
    <w:rsid w:val="56552F27"/>
    <w:rsid w:val="565847C5"/>
    <w:rsid w:val="565F310C"/>
    <w:rsid w:val="56694C24"/>
    <w:rsid w:val="566A6020"/>
    <w:rsid w:val="56735A7A"/>
    <w:rsid w:val="568D0913"/>
    <w:rsid w:val="56972C61"/>
    <w:rsid w:val="569E1178"/>
    <w:rsid w:val="56A25A40"/>
    <w:rsid w:val="56A63783"/>
    <w:rsid w:val="56A812A9"/>
    <w:rsid w:val="56AE2637"/>
    <w:rsid w:val="56C43C09"/>
    <w:rsid w:val="56C9121F"/>
    <w:rsid w:val="56C97471"/>
    <w:rsid w:val="56E94433"/>
    <w:rsid w:val="56FC7846"/>
    <w:rsid w:val="571B7CCD"/>
    <w:rsid w:val="5736A64D"/>
    <w:rsid w:val="573F860C"/>
    <w:rsid w:val="574511ED"/>
    <w:rsid w:val="57574A7D"/>
    <w:rsid w:val="57635798"/>
    <w:rsid w:val="576A19B3"/>
    <w:rsid w:val="579A0354"/>
    <w:rsid w:val="57A75A04"/>
    <w:rsid w:val="57AC4DC9"/>
    <w:rsid w:val="57B41ECF"/>
    <w:rsid w:val="57B43C7D"/>
    <w:rsid w:val="57B679F5"/>
    <w:rsid w:val="57B95737"/>
    <w:rsid w:val="57BD6FD6"/>
    <w:rsid w:val="57BE68AA"/>
    <w:rsid w:val="57D17909"/>
    <w:rsid w:val="57D61E46"/>
    <w:rsid w:val="57D83E10"/>
    <w:rsid w:val="57F66044"/>
    <w:rsid w:val="57FF75EE"/>
    <w:rsid w:val="580A7D41"/>
    <w:rsid w:val="582C7CB7"/>
    <w:rsid w:val="585D60C3"/>
    <w:rsid w:val="58607961"/>
    <w:rsid w:val="5870380D"/>
    <w:rsid w:val="587E6648"/>
    <w:rsid w:val="587F428B"/>
    <w:rsid w:val="58816255"/>
    <w:rsid w:val="58900246"/>
    <w:rsid w:val="58B27CC3"/>
    <w:rsid w:val="58B445FA"/>
    <w:rsid w:val="58B55EFF"/>
    <w:rsid w:val="58BC728D"/>
    <w:rsid w:val="58BC7A68"/>
    <w:rsid w:val="58C6010C"/>
    <w:rsid w:val="58CD6D17"/>
    <w:rsid w:val="58D565A1"/>
    <w:rsid w:val="58D8399B"/>
    <w:rsid w:val="58DE5456"/>
    <w:rsid w:val="58EB1921"/>
    <w:rsid w:val="58F05189"/>
    <w:rsid w:val="59012EF2"/>
    <w:rsid w:val="59050C34"/>
    <w:rsid w:val="59115FAF"/>
    <w:rsid w:val="59140E77"/>
    <w:rsid w:val="59260E57"/>
    <w:rsid w:val="59376914"/>
    <w:rsid w:val="594B1719"/>
    <w:rsid w:val="59662C8B"/>
    <w:rsid w:val="59701E26"/>
    <w:rsid w:val="59B12B6A"/>
    <w:rsid w:val="59BF009D"/>
    <w:rsid w:val="59C363FA"/>
    <w:rsid w:val="59C52172"/>
    <w:rsid w:val="59C7413C"/>
    <w:rsid w:val="59D6612D"/>
    <w:rsid w:val="59DD74BB"/>
    <w:rsid w:val="59DE3233"/>
    <w:rsid w:val="59E22D24"/>
    <w:rsid w:val="59E44CEE"/>
    <w:rsid w:val="59F842F5"/>
    <w:rsid w:val="59F9006D"/>
    <w:rsid w:val="59FD5DAF"/>
    <w:rsid w:val="5A217E5B"/>
    <w:rsid w:val="5A236E98"/>
    <w:rsid w:val="5A292701"/>
    <w:rsid w:val="5A2E5F69"/>
    <w:rsid w:val="5A355549"/>
    <w:rsid w:val="5A455061"/>
    <w:rsid w:val="5A5534F6"/>
    <w:rsid w:val="5A625C12"/>
    <w:rsid w:val="5A6279C1"/>
    <w:rsid w:val="5A6951F3"/>
    <w:rsid w:val="5A6C6A91"/>
    <w:rsid w:val="5A753B98"/>
    <w:rsid w:val="5A7A11AE"/>
    <w:rsid w:val="5A7B0A82"/>
    <w:rsid w:val="5A7B6CD4"/>
    <w:rsid w:val="5A8B5169"/>
    <w:rsid w:val="5A9102A6"/>
    <w:rsid w:val="5AB67D0C"/>
    <w:rsid w:val="5AD703AE"/>
    <w:rsid w:val="5ADA210C"/>
    <w:rsid w:val="5AE12FDB"/>
    <w:rsid w:val="5AE64A95"/>
    <w:rsid w:val="5AE66844"/>
    <w:rsid w:val="5AE76118"/>
    <w:rsid w:val="5AEE74A6"/>
    <w:rsid w:val="5AF727FF"/>
    <w:rsid w:val="5AF75EB0"/>
    <w:rsid w:val="5B24111A"/>
    <w:rsid w:val="5B280C0A"/>
    <w:rsid w:val="5B2F1F99"/>
    <w:rsid w:val="5B5C08B4"/>
    <w:rsid w:val="5B5C53E4"/>
    <w:rsid w:val="5B625BCE"/>
    <w:rsid w:val="5B7C0F56"/>
    <w:rsid w:val="5B835E40"/>
    <w:rsid w:val="5B90055D"/>
    <w:rsid w:val="5B914A01"/>
    <w:rsid w:val="5B9B5880"/>
    <w:rsid w:val="5B9C5154"/>
    <w:rsid w:val="5B9F0B01"/>
    <w:rsid w:val="5BA02E96"/>
    <w:rsid w:val="5BBB7CD0"/>
    <w:rsid w:val="5BBC1352"/>
    <w:rsid w:val="5BC14BBB"/>
    <w:rsid w:val="5BD14DFE"/>
    <w:rsid w:val="5BD963A8"/>
    <w:rsid w:val="5BE06CA5"/>
    <w:rsid w:val="5BF907F8"/>
    <w:rsid w:val="5BFB3FFB"/>
    <w:rsid w:val="5C013209"/>
    <w:rsid w:val="5C084598"/>
    <w:rsid w:val="5C0E2485"/>
    <w:rsid w:val="5C115B42"/>
    <w:rsid w:val="5C133668"/>
    <w:rsid w:val="5C337866"/>
    <w:rsid w:val="5C5123E2"/>
    <w:rsid w:val="5C5D48E3"/>
    <w:rsid w:val="5C675762"/>
    <w:rsid w:val="5C6D0C8A"/>
    <w:rsid w:val="5C6D736B"/>
    <w:rsid w:val="5C706F98"/>
    <w:rsid w:val="5C764DF0"/>
    <w:rsid w:val="5C823256"/>
    <w:rsid w:val="5C8B76A2"/>
    <w:rsid w:val="5C971B3D"/>
    <w:rsid w:val="5C9B365E"/>
    <w:rsid w:val="5CAE4C97"/>
    <w:rsid w:val="5CB00EB7"/>
    <w:rsid w:val="5CB0535B"/>
    <w:rsid w:val="5CBD36E8"/>
    <w:rsid w:val="5CC6692D"/>
    <w:rsid w:val="5CD526CC"/>
    <w:rsid w:val="5CF43978"/>
    <w:rsid w:val="5CF51F42"/>
    <w:rsid w:val="5D017965"/>
    <w:rsid w:val="5D07484F"/>
    <w:rsid w:val="5D3312B3"/>
    <w:rsid w:val="5D380EAD"/>
    <w:rsid w:val="5D3D1D71"/>
    <w:rsid w:val="5D3F048D"/>
    <w:rsid w:val="5D4E06D0"/>
    <w:rsid w:val="5D4E247E"/>
    <w:rsid w:val="5D5201C0"/>
    <w:rsid w:val="5D5E0913"/>
    <w:rsid w:val="5D63417B"/>
    <w:rsid w:val="5D665A1A"/>
    <w:rsid w:val="5D693591"/>
    <w:rsid w:val="5D752101"/>
    <w:rsid w:val="5D755C5D"/>
    <w:rsid w:val="5D942587"/>
    <w:rsid w:val="5DDA5CAC"/>
    <w:rsid w:val="5DE441AC"/>
    <w:rsid w:val="5DE46FAF"/>
    <w:rsid w:val="5DE7A303"/>
    <w:rsid w:val="5DED1C97"/>
    <w:rsid w:val="5E007C1C"/>
    <w:rsid w:val="5E023994"/>
    <w:rsid w:val="5E074424"/>
    <w:rsid w:val="5E0F5E3E"/>
    <w:rsid w:val="5E1831B8"/>
    <w:rsid w:val="5E2A2EEB"/>
    <w:rsid w:val="5E3C57E8"/>
    <w:rsid w:val="5E443FAD"/>
    <w:rsid w:val="5E473A9D"/>
    <w:rsid w:val="5E6F4DA2"/>
    <w:rsid w:val="5E7A23D3"/>
    <w:rsid w:val="5E801A2E"/>
    <w:rsid w:val="5E8763EC"/>
    <w:rsid w:val="5E8B1BDC"/>
    <w:rsid w:val="5E9C1B3F"/>
    <w:rsid w:val="5EA54320"/>
    <w:rsid w:val="5EA66A16"/>
    <w:rsid w:val="5EA70098"/>
    <w:rsid w:val="5EA762EA"/>
    <w:rsid w:val="5EAF519E"/>
    <w:rsid w:val="5EB01642"/>
    <w:rsid w:val="5EB7567E"/>
    <w:rsid w:val="5ED42420"/>
    <w:rsid w:val="5EFE157D"/>
    <w:rsid w:val="5F013C4C"/>
    <w:rsid w:val="5F090D52"/>
    <w:rsid w:val="5F1F40D2"/>
    <w:rsid w:val="5F294F51"/>
    <w:rsid w:val="5F3062DF"/>
    <w:rsid w:val="5F3B6A32"/>
    <w:rsid w:val="5F585836"/>
    <w:rsid w:val="5F6D6F85"/>
    <w:rsid w:val="5F6F63DB"/>
    <w:rsid w:val="5F770F26"/>
    <w:rsid w:val="5F7FA953"/>
    <w:rsid w:val="5FA840C8"/>
    <w:rsid w:val="5FB011CE"/>
    <w:rsid w:val="5FC1162D"/>
    <w:rsid w:val="5FD650D9"/>
    <w:rsid w:val="5FD7044A"/>
    <w:rsid w:val="5FD7ACE4"/>
    <w:rsid w:val="5FDBF106"/>
    <w:rsid w:val="5FE75D63"/>
    <w:rsid w:val="5FF6B3BE"/>
    <w:rsid w:val="5FFD7DE8"/>
    <w:rsid w:val="60017C7C"/>
    <w:rsid w:val="6005151A"/>
    <w:rsid w:val="600D4872"/>
    <w:rsid w:val="601D4FE1"/>
    <w:rsid w:val="60342F05"/>
    <w:rsid w:val="60453C26"/>
    <w:rsid w:val="6045400C"/>
    <w:rsid w:val="60507D65"/>
    <w:rsid w:val="60554341"/>
    <w:rsid w:val="60714E01"/>
    <w:rsid w:val="607448F1"/>
    <w:rsid w:val="60806DF2"/>
    <w:rsid w:val="608F5287"/>
    <w:rsid w:val="609B1E7E"/>
    <w:rsid w:val="609D1752"/>
    <w:rsid w:val="60A52EB0"/>
    <w:rsid w:val="60C413D5"/>
    <w:rsid w:val="60C767CF"/>
    <w:rsid w:val="60D96503"/>
    <w:rsid w:val="60DB4039"/>
    <w:rsid w:val="60E6759D"/>
    <w:rsid w:val="60EA0710"/>
    <w:rsid w:val="60F91FE4"/>
    <w:rsid w:val="60FA6BA5"/>
    <w:rsid w:val="60FD28B6"/>
    <w:rsid w:val="60FF41BB"/>
    <w:rsid w:val="613D03DF"/>
    <w:rsid w:val="614918DA"/>
    <w:rsid w:val="615362B5"/>
    <w:rsid w:val="615F10FE"/>
    <w:rsid w:val="61637D56"/>
    <w:rsid w:val="61665FE8"/>
    <w:rsid w:val="6171498D"/>
    <w:rsid w:val="617C5745"/>
    <w:rsid w:val="618B3CA1"/>
    <w:rsid w:val="61A1293E"/>
    <w:rsid w:val="61A27384"/>
    <w:rsid w:val="61BD42A9"/>
    <w:rsid w:val="61C64CD9"/>
    <w:rsid w:val="61C96577"/>
    <w:rsid w:val="61E67129"/>
    <w:rsid w:val="61EA59E2"/>
    <w:rsid w:val="61F23D20"/>
    <w:rsid w:val="61FC06FB"/>
    <w:rsid w:val="62031A89"/>
    <w:rsid w:val="62051CA5"/>
    <w:rsid w:val="620D6DAC"/>
    <w:rsid w:val="621A6DD3"/>
    <w:rsid w:val="621B4097"/>
    <w:rsid w:val="622163B3"/>
    <w:rsid w:val="622A34BA"/>
    <w:rsid w:val="624125B1"/>
    <w:rsid w:val="62456545"/>
    <w:rsid w:val="62797F9D"/>
    <w:rsid w:val="627B3D15"/>
    <w:rsid w:val="62830E1C"/>
    <w:rsid w:val="628801E0"/>
    <w:rsid w:val="628C1A7E"/>
    <w:rsid w:val="628E1C9B"/>
    <w:rsid w:val="629D3C8C"/>
    <w:rsid w:val="62B17737"/>
    <w:rsid w:val="62CF4061"/>
    <w:rsid w:val="62D41677"/>
    <w:rsid w:val="62D84CFA"/>
    <w:rsid w:val="62E06AAA"/>
    <w:rsid w:val="62F67840"/>
    <w:rsid w:val="62FD472A"/>
    <w:rsid w:val="63100901"/>
    <w:rsid w:val="633A772C"/>
    <w:rsid w:val="633F2F95"/>
    <w:rsid w:val="634C3904"/>
    <w:rsid w:val="635F3637"/>
    <w:rsid w:val="637F5A87"/>
    <w:rsid w:val="63A177AC"/>
    <w:rsid w:val="63A948B2"/>
    <w:rsid w:val="63AB687C"/>
    <w:rsid w:val="63AE5B76"/>
    <w:rsid w:val="63B2022D"/>
    <w:rsid w:val="63D228CE"/>
    <w:rsid w:val="63ED0C43"/>
    <w:rsid w:val="63F21DB5"/>
    <w:rsid w:val="63F773CC"/>
    <w:rsid w:val="63F87562"/>
    <w:rsid w:val="63FA6361"/>
    <w:rsid w:val="63FF0976"/>
    <w:rsid w:val="64001812"/>
    <w:rsid w:val="64085A7D"/>
    <w:rsid w:val="64095351"/>
    <w:rsid w:val="641F4B74"/>
    <w:rsid w:val="642E6B65"/>
    <w:rsid w:val="644A7D2D"/>
    <w:rsid w:val="644F0FB6"/>
    <w:rsid w:val="64790728"/>
    <w:rsid w:val="64872303"/>
    <w:rsid w:val="649410BE"/>
    <w:rsid w:val="64A62BA0"/>
    <w:rsid w:val="64AA08E2"/>
    <w:rsid w:val="64B61035"/>
    <w:rsid w:val="64C268FF"/>
    <w:rsid w:val="64C64FF0"/>
    <w:rsid w:val="64C86FBA"/>
    <w:rsid w:val="64E5191A"/>
    <w:rsid w:val="64E75692"/>
    <w:rsid w:val="6500635B"/>
    <w:rsid w:val="651346D9"/>
    <w:rsid w:val="65150451"/>
    <w:rsid w:val="651915C4"/>
    <w:rsid w:val="65273CE0"/>
    <w:rsid w:val="653B3C30"/>
    <w:rsid w:val="654E167A"/>
    <w:rsid w:val="654E74BF"/>
    <w:rsid w:val="6554084E"/>
    <w:rsid w:val="655A40B6"/>
    <w:rsid w:val="656071F2"/>
    <w:rsid w:val="65735178"/>
    <w:rsid w:val="65752C9E"/>
    <w:rsid w:val="657F2909"/>
    <w:rsid w:val="65940FE8"/>
    <w:rsid w:val="659C46CE"/>
    <w:rsid w:val="65A417D5"/>
    <w:rsid w:val="65AD68DC"/>
    <w:rsid w:val="65AE7F5E"/>
    <w:rsid w:val="65B03CD6"/>
    <w:rsid w:val="65B40B3A"/>
    <w:rsid w:val="65C459D3"/>
    <w:rsid w:val="65D66667"/>
    <w:rsid w:val="65F77B57"/>
    <w:rsid w:val="66044022"/>
    <w:rsid w:val="66214A57"/>
    <w:rsid w:val="664B39FF"/>
    <w:rsid w:val="666F1DE3"/>
    <w:rsid w:val="667271DD"/>
    <w:rsid w:val="668533B4"/>
    <w:rsid w:val="668C4743"/>
    <w:rsid w:val="66C67529"/>
    <w:rsid w:val="66CA0DC7"/>
    <w:rsid w:val="66D659BE"/>
    <w:rsid w:val="66D777FD"/>
    <w:rsid w:val="66E300DB"/>
    <w:rsid w:val="66F978FF"/>
    <w:rsid w:val="66FE3167"/>
    <w:rsid w:val="670A5668"/>
    <w:rsid w:val="670C13E0"/>
    <w:rsid w:val="67334BBF"/>
    <w:rsid w:val="6764121C"/>
    <w:rsid w:val="67784CC7"/>
    <w:rsid w:val="677D539D"/>
    <w:rsid w:val="6784366C"/>
    <w:rsid w:val="678F513D"/>
    <w:rsid w:val="67A7735B"/>
    <w:rsid w:val="67B850C4"/>
    <w:rsid w:val="67C43A69"/>
    <w:rsid w:val="67CE326A"/>
    <w:rsid w:val="67E4410B"/>
    <w:rsid w:val="67ED15A0"/>
    <w:rsid w:val="67ED7463"/>
    <w:rsid w:val="67F85E08"/>
    <w:rsid w:val="67FD51CC"/>
    <w:rsid w:val="681F1498"/>
    <w:rsid w:val="68212C69"/>
    <w:rsid w:val="682409AB"/>
    <w:rsid w:val="68243331"/>
    <w:rsid w:val="68243DC2"/>
    <w:rsid w:val="68352BB8"/>
    <w:rsid w:val="68466B73"/>
    <w:rsid w:val="684C35C2"/>
    <w:rsid w:val="68516BE0"/>
    <w:rsid w:val="68582403"/>
    <w:rsid w:val="68773090"/>
    <w:rsid w:val="68802085"/>
    <w:rsid w:val="688A55F1"/>
    <w:rsid w:val="688B27D8"/>
    <w:rsid w:val="688D02FE"/>
    <w:rsid w:val="68A1669C"/>
    <w:rsid w:val="68C36416"/>
    <w:rsid w:val="68C47A98"/>
    <w:rsid w:val="68C70F39"/>
    <w:rsid w:val="68C857DA"/>
    <w:rsid w:val="68D7106B"/>
    <w:rsid w:val="68EE41E3"/>
    <w:rsid w:val="68F22857"/>
    <w:rsid w:val="68F91E38"/>
    <w:rsid w:val="69085BD7"/>
    <w:rsid w:val="690D5EEA"/>
    <w:rsid w:val="69166546"/>
    <w:rsid w:val="6939728B"/>
    <w:rsid w:val="693D1D24"/>
    <w:rsid w:val="69581DF6"/>
    <w:rsid w:val="695B03FD"/>
    <w:rsid w:val="697119CE"/>
    <w:rsid w:val="697414BE"/>
    <w:rsid w:val="697E40EB"/>
    <w:rsid w:val="698C4A5A"/>
    <w:rsid w:val="698F00A6"/>
    <w:rsid w:val="699F7EB7"/>
    <w:rsid w:val="69A04061"/>
    <w:rsid w:val="69A51678"/>
    <w:rsid w:val="69AC0C58"/>
    <w:rsid w:val="69B875FD"/>
    <w:rsid w:val="69D501AF"/>
    <w:rsid w:val="69DF332A"/>
    <w:rsid w:val="69E35F50"/>
    <w:rsid w:val="69E76134"/>
    <w:rsid w:val="6A2904FB"/>
    <w:rsid w:val="6A2E5B11"/>
    <w:rsid w:val="6A366774"/>
    <w:rsid w:val="6A3F1ACC"/>
    <w:rsid w:val="6A5135AE"/>
    <w:rsid w:val="6A6D6BA4"/>
    <w:rsid w:val="6A7C5970"/>
    <w:rsid w:val="6A9308E3"/>
    <w:rsid w:val="6A95793E"/>
    <w:rsid w:val="6A9D313F"/>
    <w:rsid w:val="6AA55DB5"/>
    <w:rsid w:val="6AB46016"/>
    <w:rsid w:val="6ABC739A"/>
    <w:rsid w:val="6AC87D14"/>
    <w:rsid w:val="6AD20B92"/>
    <w:rsid w:val="6AF97ECD"/>
    <w:rsid w:val="6AFC2C77"/>
    <w:rsid w:val="6B170353"/>
    <w:rsid w:val="6B1D005F"/>
    <w:rsid w:val="6B1E7934"/>
    <w:rsid w:val="6B2667E8"/>
    <w:rsid w:val="6B2A62D8"/>
    <w:rsid w:val="6B3B04E6"/>
    <w:rsid w:val="6B3C600C"/>
    <w:rsid w:val="6B563571"/>
    <w:rsid w:val="6B5B2936"/>
    <w:rsid w:val="6B6F63E1"/>
    <w:rsid w:val="6B7834E8"/>
    <w:rsid w:val="6BB11A6E"/>
    <w:rsid w:val="6BB362CE"/>
    <w:rsid w:val="6BB81B36"/>
    <w:rsid w:val="6BBC1BC6"/>
    <w:rsid w:val="6BC24763"/>
    <w:rsid w:val="6BC8789F"/>
    <w:rsid w:val="6BCE4EB6"/>
    <w:rsid w:val="6BD36970"/>
    <w:rsid w:val="6BD4607D"/>
    <w:rsid w:val="6BDA7CFF"/>
    <w:rsid w:val="6BEC17E0"/>
    <w:rsid w:val="6BF46938"/>
    <w:rsid w:val="6C272818"/>
    <w:rsid w:val="6C296590"/>
    <w:rsid w:val="6C2B2308"/>
    <w:rsid w:val="6C315445"/>
    <w:rsid w:val="6C376EFF"/>
    <w:rsid w:val="6C465394"/>
    <w:rsid w:val="6C4C04D0"/>
    <w:rsid w:val="6C517895"/>
    <w:rsid w:val="6C5555D7"/>
    <w:rsid w:val="6C613F7C"/>
    <w:rsid w:val="6C7041BF"/>
    <w:rsid w:val="6C7A6DEC"/>
    <w:rsid w:val="6C823EF2"/>
    <w:rsid w:val="6C920AD6"/>
    <w:rsid w:val="6CA42B75"/>
    <w:rsid w:val="6CA65E33"/>
    <w:rsid w:val="6CB5251A"/>
    <w:rsid w:val="6CBC7404"/>
    <w:rsid w:val="6CC10EBE"/>
    <w:rsid w:val="6CDA219B"/>
    <w:rsid w:val="6CDE580B"/>
    <w:rsid w:val="6CE30E35"/>
    <w:rsid w:val="6CE7542D"/>
    <w:rsid w:val="6CEB7CE9"/>
    <w:rsid w:val="6CEF1588"/>
    <w:rsid w:val="6D003795"/>
    <w:rsid w:val="6D023F42"/>
    <w:rsid w:val="6D0B213A"/>
    <w:rsid w:val="6D156B14"/>
    <w:rsid w:val="6D1F7993"/>
    <w:rsid w:val="6D4A5B6D"/>
    <w:rsid w:val="6D521B17"/>
    <w:rsid w:val="6D6535F8"/>
    <w:rsid w:val="6D875C64"/>
    <w:rsid w:val="6D8F2D6B"/>
    <w:rsid w:val="6D974042"/>
    <w:rsid w:val="6DA06D26"/>
    <w:rsid w:val="6DAA1953"/>
    <w:rsid w:val="6DBF7CC9"/>
    <w:rsid w:val="6DD01BE3"/>
    <w:rsid w:val="6DE76703"/>
    <w:rsid w:val="6E080427"/>
    <w:rsid w:val="6E192634"/>
    <w:rsid w:val="6E2B2630"/>
    <w:rsid w:val="6E3336F6"/>
    <w:rsid w:val="6E48013D"/>
    <w:rsid w:val="6E5378F4"/>
    <w:rsid w:val="6E647D53"/>
    <w:rsid w:val="6E6733A0"/>
    <w:rsid w:val="6E69536A"/>
    <w:rsid w:val="6E8421A4"/>
    <w:rsid w:val="6E8C59CD"/>
    <w:rsid w:val="6E9A5523"/>
    <w:rsid w:val="6EBC7B8F"/>
    <w:rsid w:val="6EC922AC"/>
    <w:rsid w:val="6F035A59"/>
    <w:rsid w:val="6F045092"/>
    <w:rsid w:val="6F152DFC"/>
    <w:rsid w:val="6F1D7993"/>
    <w:rsid w:val="6F2D283B"/>
    <w:rsid w:val="6F3B6D06"/>
    <w:rsid w:val="6F3C2A7E"/>
    <w:rsid w:val="6F483AD1"/>
    <w:rsid w:val="6F4A519B"/>
    <w:rsid w:val="6F5B73A8"/>
    <w:rsid w:val="6F5F908F"/>
    <w:rsid w:val="6F6F40CF"/>
    <w:rsid w:val="6F7E6BF3"/>
    <w:rsid w:val="6F800BBD"/>
    <w:rsid w:val="6F834209"/>
    <w:rsid w:val="6F944668"/>
    <w:rsid w:val="6F975F07"/>
    <w:rsid w:val="6FA8F579"/>
    <w:rsid w:val="6FBE16E5"/>
    <w:rsid w:val="6FC0545D"/>
    <w:rsid w:val="6FC5102F"/>
    <w:rsid w:val="6FD22763"/>
    <w:rsid w:val="6FE11806"/>
    <w:rsid w:val="6FEA072C"/>
    <w:rsid w:val="6FEA4288"/>
    <w:rsid w:val="6FF944CB"/>
    <w:rsid w:val="6FFD045F"/>
    <w:rsid w:val="70121434"/>
    <w:rsid w:val="70251764"/>
    <w:rsid w:val="7037347A"/>
    <w:rsid w:val="70384FF4"/>
    <w:rsid w:val="70390D6C"/>
    <w:rsid w:val="704C25EF"/>
    <w:rsid w:val="705B6F34"/>
    <w:rsid w:val="70626515"/>
    <w:rsid w:val="706C1141"/>
    <w:rsid w:val="706C7393"/>
    <w:rsid w:val="70761FC0"/>
    <w:rsid w:val="709E7161"/>
    <w:rsid w:val="70A00DEB"/>
    <w:rsid w:val="70B12FF8"/>
    <w:rsid w:val="70B33B2D"/>
    <w:rsid w:val="70B54896"/>
    <w:rsid w:val="70B93212"/>
    <w:rsid w:val="70C66AA3"/>
    <w:rsid w:val="70D171F6"/>
    <w:rsid w:val="70D72A5F"/>
    <w:rsid w:val="70DE4060"/>
    <w:rsid w:val="70DF36C1"/>
    <w:rsid w:val="70DF7B65"/>
    <w:rsid w:val="70F52EE5"/>
    <w:rsid w:val="70FC0717"/>
    <w:rsid w:val="710D58AC"/>
    <w:rsid w:val="71175551"/>
    <w:rsid w:val="71237A52"/>
    <w:rsid w:val="714300F4"/>
    <w:rsid w:val="714874B8"/>
    <w:rsid w:val="714F20E7"/>
    <w:rsid w:val="714F6A99"/>
    <w:rsid w:val="715916C6"/>
    <w:rsid w:val="715B3690"/>
    <w:rsid w:val="7164163B"/>
    <w:rsid w:val="716A5681"/>
    <w:rsid w:val="71761B9F"/>
    <w:rsid w:val="718F3339"/>
    <w:rsid w:val="71924A6B"/>
    <w:rsid w:val="71BE3C1E"/>
    <w:rsid w:val="71C823A7"/>
    <w:rsid w:val="71E04DA5"/>
    <w:rsid w:val="71ED1E0E"/>
    <w:rsid w:val="71F66F14"/>
    <w:rsid w:val="71F94C57"/>
    <w:rsid w:val="71FA13BB"/>
    <w:rsid w:val="720867EF"/>
    <w:rsid w:val="72153DD4"/>
    <w:rsid w:val="7218332F"/>
    <w:rsid w:val="72186FD5"/>
    <w:rsid w:val="72275320"/>
    <w:rsid w:val="722C04C9"/>
    <w:rsid w:val="723932A5"/>
    <w:rsid w:val="723B526F"/>
    <w:rsid w:val="72406071"/>
    <w:rsid w:val="7251239D"/>
    <w:rsid w:val="725620A9"/>
    <w:rsid w:val="72624F19"/>
    <w:rsid w:val="726A16B0"/>
    <w:rsid w:val="726A345E"/>
    <w:rsid w:val="726E11A1"/>
    <w:rsid w:val="7285473C"/>
    <w:rsid w:val="729F135A"/>
    <w:rsid w:val="72CFC3FC"/>
    <w:rsid w:val="72D54D7C"/>
    <w:rsid w:val="72DB435C"/>
    <w:rsid w:val="72EA28D9"/>
    <w:rsid w:val="72FF7D9B"/>
    <w:rsid w:val="73092C77"/>
    <w:rsid w:val="7309711B"/>
    <w:rsid w:val="731B16A2"/>
    <w:rsid w:val="731C6E4F"/>
    <w:rsid w:val="73267CCD"/>
    <w:rsid w:val="732B0E40"/>
    <w:rsid w:val="73326672"/>
    <w:rsid w:val="73351CBE"/>
    <w:rsid w:val="7375030D"/>
    <w:rsid w:val="737C169B"/>
    <w:rsid w:val="73840550"/>
    <w:rsid w:val="7399224D"/>
    <w:rsid w:val="73A79CD9"/>
    <w:rsid w:val="73AB4ED8"/>
    <w:rsid w:val="73B47087"/>
    <w:rsid w:val="73B61051"/>
    <w:rsid w:val="73CA18F0"/>
    <w:rsid w:val="73CD0149"/>
    <w:rsid w:val="73CD15DA"/>
    <w:rsid w:val="73CD639B"/>
    <w:rsid w:val="73D040CE"/>
    <w:rsid w:val="73D56FFD"/>
    <w:rsid w:val="73D943D5"/>
    <w:rsid w:val="73DA4614"/>
    <w:rsid w:val="73E060CE"/>
    <w:rsid w:val="73E4411B"/>
    <w:rsid w:val="73F12089"/>
    <w:rsid w:val="741D056B"/>
    <w:rsid w:val="743261FE"/>
    <w:rsid w:val="743B3304"/>
    <w:rsid w:val="74455F31"/>
    <w:rsid w:val="7447614D"/>
    <w:rsid w:val="74485A21"/>
    <w:rsid w:val="744C3764"/>
    <w:rsid w:val="745368A0"/>
    <w:rsid w:val="74597C2E"/>
    <w:rsid w:val="745D6409"/>
    <w:rsid w:val="74687E72"/>
    <w:rsid w:val="746A5998"/>
    <w:rsid w:val="746E36DA"/>
    <w:rsid w:val="746F11F1"/>
    <w:rsid w:val="74791845"/>
    <w:rsid w:val="74793E2D"/>
    <w:rsid w:val="748051BB"/>
    <w:rsid w:val="74836A59"/>
    <w:rsid w:val="748C3B60"/>
    <w:rsid w:val="74995177"/>
    <w:rsid w:val="74A7099A"/>
    <w:rsid w:val="74AB4FE5"/>
    <w:rsid w:val="74D379E1"/>
    <w:rsid w:val="74E41BEE"/>
    <w:rsid w:val="74E4399C"/>
    <w:rsid w:val="74FE0CCE"/>
    <w:rsid w:val="75096F5F"/>
    <w:rsid w:val="751D2A0A"/>
    <w:rsid w:val="75357D54"/>
    <w:rsid w:val="753B10E2"/>
    <w:rsid w:val="7544268D"/>
    <w:rsid w:val="755F1275"/>
    <w:rsid w:val="75622B13"/>
    <w:rsid w:val="756E14B8"/>
    <w:rsid w:val="757840E4"/>
    <w:rsid w:val="757A60AE"/>
    <w:rsid w:val="7587441A"/>
    <w:rsid w:val="75881403"/>
    <w:rsid w:val="75894543"/>
    <w:rsid w:val="75A91776"/>
    <w:rsid w:val="75AA6994"/>
    <w:rsid w:val="75BC2223"/>
    <w:rsid w:val="75C15A8B"/>
    <w:rsid w:val="75D237F5"/>
    <w:rsid w:val="75D25EEA"/>
    <w:rsid w:val="75D457BF"/>
    <w:rsid w:val="75F714AD"/>
    <w:rsid w:val="75FB71EF"/>
    <w:rsid w:val="76116A13"/>
    <w:rsid w:val="761F7F3A"/>
    <w:rsid w:val="762B73A9"/>
    <w:rsid w:val="76393874"/>
    <w:rsid w:val="76465F91"/>
    <w:rsid w:val="765863F0"/>
    <w:rsid w:val="766A1C7F"/>
    <w:rsid w:val="767E1BCE"/>
    <w:rsid w:val="768076F4"/>
    <w:rsid w:val="7682346D"/>
    <w:rsid w:val="76856420"/>
    <w:rsid w:val="76B92C06"/>
    <w:rsid w:val="76BB24DB"/>
    <w:rsid w:val="76C03F95"/>
    <w:rsid w:val="76CC1378"/>
    <w:rsid w:val="76D74425"/>
    <w:rsid w:val="76DF266D"/>
    <w:rsid w:val="76E2215D"/>
    <w:rsid w:val="76EF03D6"/>
    <w:rsid w:val="76EF5746"/>
    <w:rsid w:val="76F123A0"/>
    <w:rsid w:val="76F37EC6"/>
    <w:rsid w:val="76FA04DB"/>
    <w:rsid w:val="76FE86AA"/>
    <w:rsid w:val="76FF0528"/>
    <w:rsid w:val="77045574"/>
    <w:rsid w:val="770D6A93"/>
    <w:rsid w:val="771351DA"/>
    <w:rsid w:val="77185B7F"/>
    <w:rsid w:val="771F2A69"/>
    <w:rsid w:val="772207AC"/>
    <w:rsid w:val="77335A07"/>
    <w:rsid w:val="77343076"/>
    <w:rsid w:val="773D7394"/>
    <w:rsid w:val="77446974"/>
    <w:rsid w:val="774B0A1F"/>
    <w:rsid w:val="775726FB"/>
    <w:rsid w:val="777D1E86"/>
    <w:rsid w:val="777EDCD6"/>
    <w:rsid w:val="7783749C"/>
    <w:rsid w:val="778B6351"/>
    <w:rsid w:val="778D20C9"/>
    <w:rsid w:val="77974CF6"/>
    <w:rsid w:val="77AF34F8"/>
    <w:rsid w:val="77B75398"/>
    <w:rsid w:val="77BE6726"/>
    <w:rsid w:val="77D73344"/>
    <w:rsid w:val="77F42148"/>
    <w:rsid w:val="77FA5285"/>
    <w:rsid w:val="78014D8E"/>
    <w:rsid w:val="781C51FB"/>
    <w:rsid w:val="782D7408"/>
    <w:rsid w:val="78432D95"/>
    <w:rsid w:val="784529A4"/>
    <w:rsid w:val="784A1D68"/>
    <w:rsid w:val="786A41B8"/>
    <w:rsid w:val="786D7712"/>
    <w:rsid w:val="78762B5D"/>
    <w:rsid w:val="788A7FD7"/>
    <w:rsid w:val="78986F77"/>
    <w:rsid w:val="78B10039"/>
    <w:rsid w:val="78C0202A"/>
    <w:rsid w:val="78C11C7C"/>
    <w:rsid w:val="78C22246"/>
    <w:rsid w:val="78CC09CF"/>
    <w:rsid w:val="78CF4963"/>
    <w:rsid w:val="78D6184E"/>
    <w:rsid w:val="78DC6412"/>
    <w:rsid w:val="78DD2BDC"/>
    <w:rsid w:val="78EA354B"/>
    <w:rsid w:val="78EE303B"/>
    <w:rsid w:val="78F16688"/>
    <w:rsid w:val="78F788B9"/>
    <w:rsid w:val="78FE0CA5"/>
    <w:rsid w:val="790243F1"/>
    <w:rsid w:val="79246A5D"/>
    <w:rsid w:val="792702FB"/>
    <w:rsid w:val="79537342"/>
    <w:rsid w:val="795B78CF"/>
    <w:rsid w:val="795D1F6F"/>
    <w:rsid w:val="796B7926"/>
    <w:rsid w:val="797F5A41"/>
    <w:rsid w:val="798B088A"/>
    <w:rsid w:val="798D4602"/>
    <w:rsid w:val="79B33F8C"/>
    <w:rsid w:val="79D20267"/>
    <w:rsid w:val="79DC10E6"/>
    <w:rsid w:val="79EF2484"/>
    <w:rsid w:val="79F71A7C"/>
    <w:rsid w:val="79FF3026"/>
    <w:rsid w:val="7A0E66CB"/>
    <w:rsid w:val="7A102B3D"/>
    <w:rsid w:val="7A1401B4"/>
    <w:rsid w:val="7A170370"/>
    <w:rsid w:val="7A1E525A"/>
    <w:rsid w:val="7A252A8D"/>
    <w:rsid w:val="7A2A0FB7"/>
    <w:rsid w:val="7A4153ED"/>
    <w:rsid w:val="7A513882"/>
    <w:rsid w:val="7A6510DB"/>
    <w:rsid w:val="7A715CD2"/>
    <w:rsid w:val="7A966109"/>
    <w:rsid w:val="7A990D85"/>
    <w:rsid w:val="7AB21E46"/>
    <w:rsid w:val="7AC06311"/>
    <w:rsid w:val="7AD973D3"/>
    <w:rsid w:val="7B034450"/>
    <w:rsid w:val="7B087CB8"/>
    <w:rsid w:val="7B101F55"/>
    <w:rsid w:val="7B1F572E"/>
    <w:rsid w:val="7B364826"/>
    <w:rsid w:val="7B476A33"/>
    <w:rsid w:val="7B5B0730"/>
    <w:rsid w:val="7B6C46EB"/>
    <w:rsid w:val="7B6E0463"/>
    <w:rsid w:val="7B7F441F"/>
    <w:rsid w:val="7B810B57"/>
    <w:rsid w:val="7B821819"/>
    <w:rsid w:val="7B871525"/>
    <w:rsid w:val="7B8732D3"/>
    <w:rsid w:val="7B876E2F"/>
    <w:rsid w:val="7B8E01BE"/>
    <w:rsid w:val="7B917CAE"/>
    <w:rsid w:val="7BB75966"/>
    <w:rsid w:val="7BDFBDF7"/>
    <w:rsid w:val="7BEC1388"/>
    <w:rsid w:val="7BF00E78"/>
    <w:rsid w:val="7C0F2ACF"/>
    <w:rsid w:val="7C1C1C6D"/>
    <w:rsid w:val="7C2428D0"/>
    <w:rsid w:val="7C4D0079"/>
    <w:rsid w:val="7C547659"/>
    <w:rsid w:val="7C6453C2"/>
    <w:rsid w:val="7C6B04FF"/>
    <w:rsid w:val="7C7E3DCB"/>
    <w:rsid w:val="7C8F0691"/>
    <w:rsid w:val="7C907F65"/>
    <w:rsid w:val="7C947A56"/>
    <w:rsid w:val="7C9B5288"/>
    <w:rsid w:val="7C9B7036"/>
    <w:rsid w:val="7CAD4FBB"/>
    <w:rsid w:val="7CC95FF2"/>
    <w:rsid w:val="7CD04806"/>
    <w:rsid w:val="7CD75B94"/>
    <w:rsid w:val="7CF60710"/>
    <w:rsid w:val="7D0050EB"/>
    <w:rsid w:val="7D0821F2"/>
    <w:rsid w:val="7D1868D9"/>
    <w:rsid w:val="7D2708CA"/>
    <w:rsid w:val="7D396E2D"/>
    <w:rsid w:val="7D3B25C7"/>
    <w:rsid w:val="7D5176F5"/>
    <w:rsid w:val="7D5316BF"/>
    <w:rsid w:val="7D537911"/>
    <w:rsid w:val="7D545437"/>
    <w:rsid w:val="7D584F27"/>
    <w:rsid w:val="7D694E9E"/>
    <w:rsid w:val="7D983576"/>
    <w:rsid w:val="7DB61C4E"/>
    <w:rsid w:val="7DC425BD"/>
    <w:rsid w:val="7DCB56F9"/>
    <w:rsid w:val="7DDA3B8E"/>
    <w:rsid w:val="7DDB7BFC"/>
    <w:rsid w:val="7DE95114"/>
    <w:rsid w:val="7DFDF57C"/>
    <w:rsid w:val="7E0C7AC0"/>
    <w:rsid w:val="7E176B90"/>
    <w:rsid w:val="7E1B40AE"/>
    <w:rsid w:val="7E2E3EDA"/>
    <w:rsid w:val="7E357016"/>
    <w:rsid w:val="7E3B1A79"/>
    <w:rsid w:val="7E3F39F1"/>
    <w:rsid w:val="7E417769"/>
    <w:rsid w:val="7E461224"/>
    <w:rsid w:val="7E484F9C"/>
    <w:rsid w:val="7E4BE362"/>
    <w:rsid w:val="7E573431"/>
    <w:rsid w:val="7E5C46C2"/>
    <w:rsid w:val="7E696CC0"/>
    <w:rsid w:val="7E747B3F"/>
    <w:rsid w:val="7E7B8CEA"/>
    <w:rsid w:val="7E7F4735"/>
    <w:rsid w:val="7E830941"/>
    <w:rsid w:val="7E8D6E52"/>
    <w:rsid w:val="7E9B6AC9"/>
    <w:rsid w:val="7EB138C0"/>
    <w:rsid w:val="7EBC2911"/>
    <w:rsid w:val="7EC32874"/>
    <w:rsid w:val="7EC65FDF"/>
    <w:rsid w:val="7ECC04C8"/>
    <w:rsid w:val="7EDE145C"/>
    <w:rsid w:val="7EE3F40F"/>
    <w:rsid w:val="7EEF2719"/>
    <w:rsid w:val="7EF649F8"/>
    <w:rsid w:val="7F203823"/>
    <w:rsid w:val="7F3472CE"/>
    <w:rsid w:val="7F364DF4"/>
    <w:rsid w:val="7F62208D"/>
    <w:rsid w:val="7F623E3B"/>
    <w:rsid w:val="7F724BB1"/>
    <w:rsid w:val="7F756D55"/>
    <w:rsid w:val="7F791185"/>
    <w:rsid w:val="7F986626"/>
    <w:rsid w:val="7F9D5378"/>
    <w:rsid w:val="7FA06711"/>
    <w:rsid w:val="7FB126CD"/>
    <w:rsid w:val="7FB3D93E"/>
    <w:rsid w:val="7FB56661"/>
    <w:rsid w:val="7FB742CF"/>
    <w:rsid w:val="7FB81CAD"/>
    <w:rsid w:val="7FBB6CEB"/>
    <w:rsid w:val="7FBD3767"/>
    <w:rsid w:val="7FBD72C3"/>
    <w:rsid w:val="7FD97BFC"/>
    <w:rsid w:val="7FDD6302"/>
    <w:rsid w:val="7FE24F7C"/>
    <w:rsid w:val="7FE5BBC4"/>
    <w:rsid w:val="7FEDF1A2"/>
    <w:rsid w:val="7FEF1928"/>
    <w:rsid w:val="7FEF9E0B"/>
    <w:rsid w:val="7FF13411"/>
    <w:rsid w:val="7FF802FC"/>
    <w:rsid w:val="7FFA22C6"/>
    <w:rsid w:val="7FFB2BE4"/>
    <w:rsid w:val="7FFB4B33"/>
    <w:rsid w:val="7FFBC002"/>
    <w:rsid w:val="9F5F21F2"/>
    <w:rsid w:val="9FF7C9A4"/>
    <w:rsid w:val="ACFA3B4B"/>
    <w:rsid w:val="B6FC9F44"/>
    <w:rsid w:val="B8CABF0E"/>
    <w:rsid w:val="BABDE969"/>
    <w:rsid w:val="BDCFB3C2"/>
    <w:rsid w:val="BDED0696"/>
    <w:rsid w:val="BE2E9E46"/>
    <w:rsid w:val="BEBCEDEA"/>
    <w:rsid w:val="BEBEDF04"/>
    <w:rsid w:val="BEBFD367"/>
    <w:rsid w:val="BF7DC39C"/>
    <w:rsid w:val="BFF7C5D1"/>
    <w:rsid w:val="C5FFB1ED"/>
    <w:rsid w:val="CE9F08AC"/>
    <w:rsid w:val="CEFBDA19"/>
    <w:rsid w:val="CFDD728B"/>
    <w:rsid w:val="D78F8098"/>
    <w:rsid w:val="DD7C3D08"/>
    <w:rsid w:val="DE5FC5B7"/>
    <w:rsid w:val="DF3FB433"/>
    <w:rsid w:val="DF6B2684"/>
    <w:rsid w:val="DFE55A2A"/>
    <w:rsid w:val="DFE785C9"/>
    <w:rsid w:val="E55FED39"/>
    <w:rsid w:val="E57BA949"/>
    <w:rsid w:val="E77BCD92"/>
    <w:rsid w:val="E77F5E46"/>
    <w:rsid w:val="E9FD44C5"/>
    <w:rsid w:val="EBAF2FE0"/>
    <w:rsid w:val="EDFF833E"/>
    <w:rsid w:val="EF65483F"/>
    <w:rsid w:val="EFB60E6A"/>
    <w:rsid w:val="EFDE7EFB"/>
    <w:rsid w:val="EFED7D33"/>
    <w:rsid w:val="EFFB6C99"/>
    <w:rsid w:val="EFFB7C8A"/>
    <w:rsid w:val="F4FF036E"/>
    <w:rsid w:val="F67AEFC4"/>
    <w:rsid w:val="F7B30FD6"/>
    <w:rsid w:val="F7DFD0E6"/>
    <w:rsid w:val="F7FFD9C3"/>
    <w:rsid w:val="F9E708BC"/>
    <w:rsid w:val="FA6A1BCF"/>
    <w:rsid w:val="FB7D863F"/>
    <w:rsid w:val="FBF7CB2B"/>
    <w:rsid w:val="FC1545B4"/>
    <w:rsid w:val="FCAB2894"/>
    <w:rsid w:val="FCFD8A34"/>
    <w:rsid w:val="FD9EB9E0"/>
    <w:rsid w:val="FDEE5E35"/>
    <w:rsid w:val="FDF8AE67"/>
    <w:rsid w:val="FE4DE98C"/>
    <w:rsid w:val="FE5E1487"/>
    <w:rsid w:val="FE79C8BB"/>
    <w:rsid w:val="FEBA2B6C"/>
    <w:rsid w:val="FEFE2721"/>
    <w:rsid w:val="FF3F2220"/>
    <w:rsid w:val="FF75D420"/>
    <w:rsid w:val="FF7C5FDE"/>
    <w:rsid w:val="FF9FBA0F"/>
    <w:rsid w:val="FFAEE9A2"/>
    <w:rsid w:val="FFF54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14">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0"/>
    <w:unhideWhenUsed/>
    <w:qFormat/>
    <w:uiPriority w:val="0"/>
    <w:rPr>
      <w:rFonts w:ascii="宋体"/>
      <w:sz w:val="18"/>
      <w:szCs w:val="18"/>
    </w:rPr>
  </w:style>
  <w:style w:type="paragraph" w:styleId="4">
    <w:name w:val="annotation text"/>
    <w:basedOn w:val="1"/>
    <w:link w:val="21"/>
    <w:unhideWhenUsed/>
    <w:qFormat/>
    <w:uiPriority w:val="0"/>
    <w:pPr>
      <w:jc w:val="left"/>
    </w:pPr>
  </w:style>
  <w:style w:type="paragraph" w:styleId="5">
    <w:name w:val="Body Text"/>
    <w:basedOn w:val="1"/>
    <w:link w:val="22"/>
    <w:qFormat/>
    <w:uiPriority w:val="0"/>
    <w:pPr>
      <w:adjustRightInd w:val="0"/>
      <w:jc w:val="left"/>
      <w:textAlignment w:val="baseline"/>
    </w:pPr>
    <w:rPr>
      <w:szCs w:val="20"/>
    </w:rPr>
  </w:style>
  <w:style w:type="paragraph" w:styleId="6">
    <w:name w:val="Balloon Text"/>
    <w:basedOn w:val="1"/>
    <w:link w:val="23"/>
    <w:semiHidden/>
    <w:qFormat/>
    <w:uiPriority w:val="0"/>
    <w:rPr>
      <w:sz w:val="18"/>
      <w:szCs w:val="18"/>
    </w:rPr>
  </w:style>
  <w:style w:type="paragraph" w:styleId="7">
    <w:name w:val="footer"/>
    <w:basedOn w:val="1"/>
    <w:link w:val="24"/>
    <w:qFormat/>
    <w:uiPriority w:val="0"/>
    <w:pPr>
      <w:tabs>
        <w:tab w:val="center" w:pos="4153"/>
        <w:tab w:val="right" w:pos="8306"/>
      </w:tabs>
      <w:snapToGrid w:val="0"/>
      <w:jc w:val="left"/>
    </w:pPr>
    <w:rPr>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6"/>
    <w:semiHidden/>
    <w:qFormat/>
    <w:uiPriority w:val="0"/>
    <w:pPr>
      <w:snapToGrid w:val="0"/>
      <w:jc w:val="left"/>
    </w:pPr>
    <w:rPr>
      <w:sz w:val="18"/>
      <w:szCs w:val="18"/>
    </w:rPr>
  </w:style>
  <w:style w:type="paragraph" w:styleId="10">
    <w:name w:val="annotation subject"/>
    <w:basedOn w:val="4"/>
    <w:next w:val="4"/>
    <w:link w:val="27"/>
    <w:unhideWhenUsed/>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basedOn w:val="14"/>
    <w:unhideWhenUsed/>
    <w:qFormat/>
    <w:uiPriority w:val="0"/>
    <w:rPr>
      <w:sz w:val="21"/>
      <w:szCs w:val="21"/>
    </w:rPr>
  </w:style>
  <w:style w:type="character" w:styleId="19">
    <w:name w:val="footnote reference"/>
    <w:basedOn w:val="14"/>
    <w:semiHidden/>
    <w:qFormat/>
    <w:uiPriority w:val="0"/>
    <w:rPr>
      <w:vertAlign w:val="superscript"/>
    </w:rPr>
  </w:style>
  <w:style w:type="character" w:customStyle="1" w:styleId="20">
    <w:name w:val="文档结构图 字符"/>
    <w:basedOn w:val="14"/>
    <w:link w:val="3"/>
    <w:semiHidden/>
    <w:qFormat/>
    <w:uiPriority w:val="0"/>
    <w:rPr>
      <w:rFonts w:ascii="宋体"/>
      <w:kern w:val="2"/>
      <w:sz w:val="18"/>
      <w:szCs w:val="18"/>
    </w:rPr>
  </w:style>
  <w:style w:type="character" w:customStyle="1" w:styleId="21">
    <w:name w:val="批注文字 字符"/>
    <w:basedOn w:val="14"/>
    <w:link w:val="4"/>
    <w:semiHidden/>
    <w:qFormat/>
    <w:uiPriority w:val="0"/>
    <w:rPr>
      <w:kern w:val="2"/>
      <w:sz w:val="21"/>
      <w:szCs w:val="24"/>
    </w:rPr>
  </w:style>
  <w:style w:type="character" w:customStyle="1" w:styleId="22">
    <w:name w:val="正文文本 字符"/>
    <w:basedOn w:val="14"/>
    <w:link w:val="5"/>
    <w:qFormat/>
    <w:uiPriority w:val="0"/>
    <w:rPr>
      <w:kern w:val="2"/>
      <w:sz w:val="21"/>
    </w:rPr>
  </w:style>
  <w:style w:type="character" w:customStyle="1" w:styleId="23">
    <w:name w:val="批注框文本 字符"/>
    <w:basedOn w:val="14"/>
    <w:link w:val="6"/>
    <w:semiHidden/>
    <w:qFormat/>
    <w:uiPriority w:val="0"/>
    <w:rPr>
      <w:kern w:val="2"/>
      <w:sz w:val="18"/>
      <w:szCs w:val="18"/>
    </w:rPr>
  </w:style>
  <w:style w:type="character" w:customStyle="1" w:styleId="24">
    <w:name w:val="页脚 字符"/>
    <w:basedOn w:val="14"/>
    <w:link w:val="7"/>
    <w:qFormat/>
    <w:uiPriority w:val="0"/>
    <w:rPr>
      <w:kern w:val="2"/>
      <w:sz w:val="18"/>
      <w:szCs w:val="18"/>
    </w:rPr>
  </w:style>
  <w:style w:type="character" w:customStyle="1" w:styleId="25">
    <w:name w:val="页眉 字符"/>
    <w:basedOn w:val="14"/>
    <w:link w:val="8"/>
    <w:qFormat/>
    <w:uiPriority w:val="0"/>
    <w:rPr>
      <w:kern w:val="2"/>
      <w:sz w:val="18"/>
      <w:szCs w:val="18"/>
    </w:rPr>
  </w:style>
  <w:style w:type="character" w:customStyle="1" w:styleId="26">
    <w:name w:val="脚注文本 字符"/>
    <w:basedOn w:val="14"/>
    <w:link w:val="9"/>
    <w:semiHidden/>
    <w:qFormat/>
    <w:uiPriority w:val="0"/>
    <w:rPr>
      <w:kern w:val="2"/>
      <w:sz w:val="18"/>
      <w:szCs w:val="18"/>
    </w:rPr>
  </w:style>
  <w:style w:type="character" w:customStyle="1" w:styleId="27">
    <w:name w:val="批注主题 字符"/>
    <w:basedOn w:val="21"/>
    <w:link w:val="10"/>
    <w:semiHidden/>
    <w:qFormat/>
    <w:uiPriority w:val="0"/>
    <w:rPr>
      <w:b/>
      <w:bCs/>
      <w:kern w:val="2"/>
      <w:sz w:val="21"/>
      <w:szCs w:val="24"/>
    </w:rPr>
  </w:style>
  <w:style w:type="paragraph" w:styleId="28">
    <w:name w:val="List Paragraph"/>
    <w:basedOn w:val="1"/>
    <w:qFormat/>
    <w:uiPriority w:val="34"/>
    <w:pPr>
      <w:ind w:firstLine="420" w:firstLineChars="200"/>
    </w:pPr>
  </w:style>
  <w:style w:type="paragraph" w:customStyle="1" w:styleId="29">
    <w:name w:val="修订1"/>
    <w:semiHidden/>
    <w:qFormat/>
    <w:uiPriority w:val="99"/>
    <w:rPr>
      <w:rFonts w:ascii="Times New Roman" w:hAnsi="Times New Roman" w:eastAsia="宋体" w:cs="Times New Roman"/>
      <w:kern w:val="2"/>
      <w:sz w:val="21"/>
      <w:szCs w:val="24"/>
      <w:lang w:val="en-US" w:eastAsia="zh-CN" w:bidi="ar-SA"/>
    </w:rPr>
  </w:style>
  <w:style w:type="table" w:customStyle="1" w:styleId="30">
    <w:name w:val="Table Grid1"/>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修订2"/>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12287</Words>
  <Characters>12749</Characters>
  <Lines>139</Lines>
  <Paragraphs>39</Paragraphs>
  <TotalTime>10</TotalTime>
  <ScaleCrop>false</ScaleCrop>
  <LinksUpToDate>false</LinksUpToDate>
  <CharactersWithSpaces>12880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2023-03-31T17:41:00Z</dcterms:created>
  <dc:creator>zm</dc:creator>
  <cp:lastModifiedBy>黄诗鹏</cp:lastModifiedBy>
  <cp:lastPrinted>2023-03-19T09:13:00Z</cp:lastPrinted>
  <dcterms:modified xsi:type="dcterms:W3CDTF">2025-04-15T02:46:26Z</dcterms:modified>
  <dc:title>签     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128452CC1E454CDFB6C0D61AA999D977_13</vt:lpwstr>
  </property>
  <property fmtid="{D5CDD505-2E9C-101B-9397-08002B2CF9AE}" pid="4" name="KSOTemplateDocerSaveRecord">
    <vt:lpwstr>eyJoZGlkIjoiZThmYzUxOWY0ZmY5MDlhM2Y1OTc4OGQxNjAwNDM3MTkiLCJ1c2VySWQiOiIyNzIyMzI1NzgifQ==</vt:lpwstr>
  </property>
</Properties>
</file>