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  <w:r>
        <w:rPr>
          <w:rFonts w:hint="eastAsia" w:eastAsia="方正小标宋_GBK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kern w:val="0"/>
          <w:sz w:val="36"/>
          <w:szCs w:val="36"/>
        </w:rPr>
        <w:t>部门整体支出绩效评价基础数据表</w:t>
      </w:r>
      <w:bookmarkStart w:id="0" w:name="_GoBack"/>
      <w:bookmarkEnd w:id="0"/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ab/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225"/>
        <w:gridCol w:w="85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（人）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110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83.97%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14.2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6.33973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14.11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8.99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1.33468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8.99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1.33468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5.21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5.00505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5.19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4659.39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3686.61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3686.61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3.2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11.61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11.61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7.9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4.16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4.16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、市</w:t>
            </w:r>
            <w:r>
              <w:rPr>
                <w:rFonts w:eastAsia="仿宋_GB2312"/>
                <w:kern w:val="0"/>
                <w:szCs w:val="21"/>
              </w:rPr>
              <w:t>级专项资金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4648.29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3670.84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3670.84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20.05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41.70875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11.3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34.56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16.433247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27.819172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8.26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13.304787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8.245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111.19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减少能源消耗。采用一些简单的方法来减少能源消耗。比如随手关灯、适量使用水等。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  <w:lang w:eastAsia="zh-CN"/>
        </w:rPr>
        <w:t>填表人：曾凯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  填表日期：2024.5.16   联系电话：15116352044  单位负责人签字：</w:t>
      </w:r>
    </w:p>
    <w:p>
      <w:pPr>
        <w:pStyle w:val="2"/>
        <w:rPr>
          <w:rFonts w:hint="eastAsia" w:eastAsia="仿宋_GB2312"/>
          <w:kern w:val="0"/>
          <w:sz w:val="22"/>
          <w:lang w:val="en-US" w:eastAsia="zh-CN"/>
        </w:rPr>
      </w:pPr>
    </w:p>
    <w:p>
      <w:pPr>
        <w:spacing w:line="3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172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预算部门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、单位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0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沅江市黄茅洲镇人民政府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1648.1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5324.83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5101.1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95.8%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3658.6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1414.49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166.6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3686.61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1499.63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完成本级政府和上级政府布置的各项工作，圆满完成年度各项任务。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完成本级政府和上级政府布置的各项工作，圆满完成年度各项任务。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本单位在职人员人数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≧100人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110人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农民人均纯收入水平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高于人均水平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高于人均水平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行政职能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按相应服务工作时限要求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按相应服务工作时限要求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≧1000万元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1258.13万元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节能降耗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人均用水、用电同比下降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人均用水、用电同比下降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≧90%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99.58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  <w:lang w:eastAsia="zh-CN"/>
        </w:rPr>
        <w:t>填表人：曾凯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  填表日期：2024.5.16   联系电话：15116352044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IzMTY1ZTljOTc0ZmY4NTAyZGJkZWIxMjI4NDAifQ=="/>
  </w:docVars>
  <w:rsids>
    <w:rsidRoot w:val="661E2C36"/>
    <w:rsid w:val="661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2024-05-20T02:38:00Z</dcterms:created>
  <dc:creator>Administrator</dc:creator>
  <cp:lastModifiedBy>Administrator</cp:lastModifiedBy>
  <dcterms:modified xsi:type="dcterms:W3CDTF">2024-05-20T02:47:45Z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416C8B4A8F8443A8B09160A1C9BB7F1E_11</vt:lpwstr>
  </property>
</Properties>
</file>