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方正小标宋_GBK"/>
          <w:sz w:val="48"/>
          <w:szCs w:val="48"/>
          <w:lang w:val="en-US" w:eastAsia="zh-CN"/>
        </w:rPr>
      </w:pPr>
      <w:r>
        <w:rPr>
          <w:rFonts w:hint="default" w:eastAsia="方正小标宋_GBK"/>
          <w:sz w:val="48"/>
          <w:szCs w:val="48"/>
          <w:lang w:val="en-US" w:eastAsia="zh-CN"/>
        </w:rPr>
        <w:t>2023年度</w:t>
      </w:r>
      <w:r>
        <w:rPr>
          <w:rFonts w:hint="eastAsia" w:eastAsia="方正小标宋_GBK"/>
          <w:sz w:val="48"/>
          <w:szCs w:val="48"/>
          <w:lang w:val="en-US" w:eastAsia="zh-CN"/>
        </w:rPr>
        <w:t>黄茅洲镇人民政府</w:t>
      </w:r>
    </w:p>
    <w:p>
      <w:pPr>
        <w:jc w:val="center"/>
        <w:rPr>
          <w:rFonts w:hint="default" w:eastAsia="方正小标宋_GBK"/>
          <w:sz w:val="48"/>
          <w:szCs w:val="48"/>
          <w:lang w:val="en-US" w:eastAsia="zh-CN"/>
        </w:rPr>
      </w:pPr>
      <w:r>
        <w:rPr>
          <w:rFonts w:hint="default" w:eastAsia="方正小标宋_GBK"/>
          <w:sz w:val="48"/>
          <w:szCs w:val="48"/>
          <w:lang w:val="en-US" w:eastAsia="zh-CN"/>
        </w:rPr>
        <w:t>项目支出绩效自评报告</w:t>
      </w:r>
    </w:p>
    <w:p>
      <w:pPr>
        <w:jc w:val="center"/>
        <w:rPr>
          <w:rFonts w:hint="default" w:eastAsia="方正小标宋_GBK"/>
          <w:sz w:val="48"/>
          <w:szCs w:val="48"/>
          <w:lang w:val="en-US" w:eastAsia="zh-CN"/>
        </w:rPr>
      </w:pPr>
    </w:p>
    <w:p>
      <w:pPr>
        <w:tabs>
          <w:tab w:val="left" w:pos="1603"/>
        </w:tabs>
        <w:bidi w:val="0"/>
        <w:jc w:val="left"/>
        <w:rPr>
          <w:rFonts w:hint="default"/>
          <w:lang w:val="en-US" w:eastAsia="zh-CN"/>
        </w:rPr>
      </w:pPr>
      <w:r>
        <w:rPr>
          <w:rFonts w:hint="default"/>
          <w:lang w:val="en-US" w:eastAsia="zh-CN"/>
        </w:rPr>
        <w:t> </w:t>
      </w:r>
    </w:p>
    <w:p>
      <w:pPr>
        <w:tabs>
          <w:tab w:val="left" w:pos="1603"/>
        </w:tabs>
        <w:bidi w:val="0"/>
        <w:jc w:val="left"/>
        <w:rPr>
          <w:rFonts w:hint="default"/>
          <w:lang w:val="en-US" w:eastAsia="zh-CN"/>
        </w:rPr>
      </w:pPr>
      <w:r>
        <w:rPr>
          <w:rFonts w:hint="default"/>
          <w:lang w:val="en-US" w:eastAsia="zh-CN"/>
        </w:rPr>
        <w:t> </w:t>
      </w:r>
    </w:p>
    <w:p>
      <w:pPr>
        <w:tabs>
          <w:tab w:val="left" w:pos="1603"/>
        </w:tabs>
        <w:bidi w:val="0"/>
        <w:jc w:val="left"/>
        <w:rPr>
          <w:rFonts w:hint="default"/>
          <w:lang w:val="en-US" w:eastAsia="zh-CN"/>
        </w:rPr>
      </w:pPr>
    </w:p>
    <w:p>
      <w:pPr>
        <w:tabs>
          <w:tab w:val="left" w:pos="1603"/>
        </w:tabs>
        <w:bidi w:val="0"/>
        <w:jc w:val="left"/>
        <w:rPr>
          <w:rFonts w:hint="default"/>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pStyle w:val="2"/>
        <w:ind w:left="0" w:leftChars="0" w:firstLine="0" w:firstLineChars="0"/>
        <w:rPr>
          <w:rFonts w:hint="default" w:eastAsia="黑体"/>
          <w:sz w:val="36"/>
          <w:szCs w:val="36"/>
          <w:lang w:val="en-US" w:eastAsia="zh-CN"/>
        </w:rPr>
      </w:pPr>
    </w:p>
    <w:p>
      <w:pPr>
        <w:pStyle w:val="2"/>
        <w:ind w:left="0" w:leftChars="0" w:firstLine="0" w:firstLineChars="0"/>
        <w:rPr>
          <w:rFonts w:hint="default" w:eastAsia="黑体"/>
          <w:sz w:val="36"/>
          <w:szCs w:val="36"/>
          <w:lang w:val="en-US" w:eastAsia="zh-CN"/>
        </w:rPr>
      </w:pPr>
    </w:p>
    <w:p>
      <w:pPr>
        <w:ind w:firstLine="720" w:firstLineChars="200"/>
        <w:jc w:val="center"/>
        <w:rPr>
          <w:rFonts w:hint="eastAsia" w:eastAsia="黑体"/>
          <w:sz w:val="36"/>
          <w:szCs w:val="36"/>
          <w:lang w:val="en-US" w:eastAsia="zh-CN"/>
        </w:rPr>
      </w:pPr>
      <w:r>
        <w:rPr>
          <w:rFonts w:hint="eastAsia" w:eastAsia="黑体"/>
          <w:sz w:val="36"/>
          <w:szCs w:val="36"/>
          <w:lang w:val="en-US" w:eastAsia="zh-CN"/>
        </w:rPr>
        <w:t xml:space="preserve">  </w:t>
      </w:r>
    </w:p>
    <w:p>
      <w:pPr>
        <w:ind w:firstLine="720" w:firstLineChars="200"/>
        <w:jc w:val="center"/>
        <w:rPr>
          <w:rFonts w:hint="default" w:eastAsia="黑体"/>
          <w:sz w:val="36"/>
          <w:szCs w:val="36"/>
          <w:lang w:val="en-US" w:eastAsia="zh-CN"/>
        </w:rPr>
      </w:pPr>
      <w:r>
        <w:rPr>
          <w:rFonts w:hint="default" w:eastAsia="黑体"/>
          <w:sz w:val="36"/>
          <w:szCs w:val="36"/>
          <w:lang w:val="en-US" w:eastAsia="zh-CN"/>
        </w:rPr>
        <w:t>部门（单位）名称：</w:t>
      </w:r>
      <w:r>
        <w:rPr>
          <w:rFonts w:hint="eastAsia" w:eastAsia="黑体"/>
          <w:sz w:val="36"/>
          <w:szCs w:val="36"/>
          <w:lang w:val="en-US" w:eastAsia="zh-CN"/>
        </w:rPr>
        <w:t>沅江市黄茅洲镇人民政府</w:t>
      </w:r>
      <w:r>
        <w:rPr>
          <w:rFonts w:hint="default" w:eastAsia="黑体"/>
          <w:sz w:val="36"/>
          <w:szCs w:val="36"/>
          <w:lang w:val="en-US" w:eastAsia="zh-CN"/>
        </w:rPr>
        <w:t xml:space="preserve">      </w:t>
      </w:r>
    </w:p>
    <w:p>
      <w:pPr>
        <w:ind w:firstLine="3240" w:firstLineChars="900"/>
        <w:jc w:val="both"/>
        <w:rPr>
          <w:rFonts w:hint="default" w:eastAsia="黑体"/>
          <w:sz w:val="36"/>
          <w:szCs w:val="36"/>
          <w:lang w:val="en-US" w:eastAsia="zh-CN"/>
        </w:rPr>
      </w:pPr>
      <w:r>
        <w:rPr>
          <w:rFonts w:hint="eastAsia" w:eastAsia="黑体"/>
          <w:sz w:val="36"/>
          <w:szCs w:val="36"/>
          <w:lang w:val="en-US" w:eastAsia="zh-CN"/>
        </w:rPr>
        <w:t>2024</w:t>
      </w:r>
      <w:r>
        <w:rPr>
          <w:rFonts w:hint="default" w:eastAsia="黑体"/>
          <w:sz w:val="36"/>
          <w:szCs w:val="36"/>
          <w:lang w:val="en-US" w:eastAsia="zh-CN"/>
        </w:rPr>
        <w:t>年</w:t>
      </w:r>
      <w:r>
        <w:rPr>
          <w:rFonts w:hint="eastAsia" w:eastAsia="黑体"/>
          <w:sz w:val="36"/>
          <w:szCs w:val="36"/>
          <w:lang w:val="en-US" w:eastAsia="zh-CN"/>
        </w:rPr>
        <w:t>5</w:t>
      </w:r>
      <w:r>
        <w:rPr>
          <w:rFonts w:hint="default" w:eastAsia="黑体"/>
          <w:sz w:val="36"/>
          <w:szCs w:val="36"/>
          <w:lang w:val="en-US" w:eastAsia="zh-CN"/>
        </w:rPr>
        <w:t>月</w:t>
      </w:r>
      <w:r>
        <w:rPr>
          <w:rFonts w:hint="eastAsia" w:eastAsia="黑体"/>
          <w:sz w:val="36"/>
          <w:szCs w:val="36"/>
          <w:lang w:val="en-US" w:eastAsia="zh-CN"/>
        </w:rPr>
        <w:t>14</w:t>
      </w:r>
      <w:r>
        <w:rPr>
          <w:rFonts w:hint="default" w:eastAsia="黑体"/>
          <w:sz w:val="36"/>
          <w:szCs w:val="36"/>
          <w:lang w:val="en-US" w:eastAsia="zh-CN"/>
        </w:rPr>
        <w:t>日</w:t>
      </w:r>
    </w:p>
    <w:p>
      <w:pPr>
        <w:ind w:firstLine="720" w:firstLineChars="200"/>
        <w:jc w:val="both"/>
        <w:rPr>
          <w:rFonts w:hint="default" w:eastAsia="黑体"/>
          <w:sz w:val="36"/>
          <w:szCs w:val="36"/>
          <w:lang w:val="en-US" w:eastAsia="zh-CN"/>
        </w:rPr>
      </w:pPr>
    </w:p>
    <w:p>
      <w:pPr>
        <w:jc w:val="center"/>
        <w:rPr>
          <w:rFonts w:hint="default" w:eastAsia="仿宋_GB2312"/>
          <w:sz w:val="32"/>
          <w:szCs w:val="32"/>
          <w:lang w:val="en-US" w:eastAsia="zh-CN"/>
        </w:rPr>
      </w:pPr>
    </w:p>
    <w:p>
      <w:pPr>
        <w:jc w:val="center"/>
        <w:rPr>
          <w:rFonts w:hint="default" w:eastAsia="仿宋_GB2312"/>
          <w:sz w:val="32"/>
          <w:szCs w:val="32"/>
          <w:lang w:val="en-US" w:eastAsia="zh-CN"/>
        </w:rPr>
      </w:pPr>
    </w:p>
    <w:p>
      <w:pPr>
        <w:spacing w:line="600" w:lineRule="exact"/>
        <w:ind w:firstLine="880" w:firstLineChars="200"/>
        <w:jc w:val="center"/>
        <w:rPr>
          <w:rFonts w:hint="eastAsia" w:eastAsia="黑体"/>
          <w:sz w:val="44"/>
          <w:szCs w:val="44"/>
          <w:lang w:val="en-US" w:eastAsia="zh-CN"/>
        </w:rPr>
      </w:pPr>
      <w:bookmarkStart w:id="0" w:name="_GoBack"/>
      <w:r>
        <w:rPr>
          <w:rFonts w:hint="default" w:eastAsia="黑体"/>
          <w:sz w:val="44"/>
          <w:szCs w:val="44"/>
          <w:lang w:val="en-US" w:eastAsia="zh-CN"/>
        </w:rPr>
        <w:t>2023年度</w:t>
      </w:r>
      <w:r>
        <w:rPr>
          <w:rFonts w:hint="eastAsia" w:eastAsia="黑体"/>
          <w:sz w:val="44"/>
          <w:szCs w:val="44"/>
          <w:lang w:val="en-US" w:eastAsia="zh-CN"/>
        </w:rPr>
        <w:t>黄茅洲镇人民政府</w:t>
      </w:r>
    </w:p>
    <w:p>
      <w:pPr>
        <w:spacing w:line="600" w:lineRule="exact"/>
        <w:ind w:firstLine="880" w:firstLineChars="200"/>
        <w:jc w:val="center"/>
        <w:rPr>
          <w:rFonts w:hint="default" w:eastAsia="黑体"/>
          <w:sz w:val="44"/>
          <w:szCs w:val="44"/>
          <w:lang w:val="en-US" w:eastAsia="zh-CN"/>
        </w:rPr>
      </w:pPr>
      <w:r>
        <w:rPr>
          <w:rFonts w:hint="default" w:eastAsia="黑体"/>
          <w:sz w:val="44"/>
          <w:szCs w:val="44"/>
          <w:lang w:val="en-US" w:eastAsia="zh-CN"/>
        </w:rPr>
        <w:t>项目支出绩效评价报告</w:t>
      </w:r>
    </w:p>
    <w:bookmarkEnd w:id="0"/>
    <w:p>
      <w:pPr>
        <w:spacing w:line="600" w:lineRule="exact"/>
        <w:ind w:firstLine="640" w:firstLineChars="200"/>
        <w:rPr>
          <w:rFonts w:hint="default" w:eastAsia="黑体"/>
          <w:sz w:val="32"/>
          <w:szCs w:val="32"/>
          <w:lang w:val="en-US" w:eastAsia="zh-CN"/>
        </w:rPr>
      </w:pPr>
      <w:r>
        <w:rPr>
          <w:rFonts w:hint="eastAsia" w:ascii="仿宋_GB2312" w:hAnsi="仿宋_GB2312" w:eastAsia="仿宋_GB2312" w:cs="仿宋_GB2312"/>
          <w:kern w:val="0"/>
          <w:sz w:val="32"/>
          <w:szCs w:val="32"/>
          <w:lang w:val="en-US" w:eastAsia="zh-CN" w:bidi="ar-SA"/>
        </w:rPr>
        <w:t>为进一步加强绩效管理水平，强化支出责任，提升财政资金使用效益，建立科学、合理的财政支出绩效评价管理体系，根据《沅江市财政局关于开展2023年度预算部门支出绩效自评的通知》（沅财绩（2024）3号）文件精神，运用科学、合理的评价方法对单位申报项目预算时明确的绩效指标完成情况进行客观、公正的评价。现将评价情况汇报如下：</w:t>
      </w:r>
    </w:p>
    <w:p>
      <w:pPr>
        <w:spacing w:line="600" w:lineRule="exact"/>
        <w:ind w:firstLine="640" w:firstLineChars="200"/>
        <w:rPr>
          <w:rFonts w:hint="default" w:eastAsia="黑体"/>
          <w:sz w:val="32"/>
          <w:szCs w:val="32"/>
          <w:lang w:val="en-US" w:eastAsia="zh-CN"/>
        </w:rPr>
      </w:pPr>
      <w:r>
        <w:rPr>
          <w:rFonts w:hint="default" w:eastAsia="黑体"/>
          <w:sz w:val="32"/>
          <w:szCs w:val="32"/>
          <w:lang w:val="en-US" w:eastAsia="zh-CN"/>
        </w:rPr>
        <w:t>一、项目支出基本情况</w:t>
      </w:r>
    </w:p>
    <w:p>
      <w:pPr>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（一）项目支出概况。主要包括项目支出决策背景及其主要内容。</w:t>
      </w:r>
    </w:p>
    <w:p>
      <w:pPr>
        <w:pStyle w:val="2"/>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1、项目支出决策背景</w:t>
      </w:r>
    </w:p>
    <w:p>
      <w:pPr>
        <w:pStyle w:val="2"/>
        <w:ind w:left="0" w:leftChars="0" w:firstLine="0" w:firstLineChars="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为促进黄茅洲镇地区经济发展，提供公共服务职能。制定并组织实施村镇建设规划、部署重点村镇工程、制定资源开发改造和产业机构调整法案、组织并指导生产、完成本行政区域内民政、计划生育、经管、文化教育等工作。抓好精神文明建设、丰富群众文化生活、提倡移风易俗，完成上级政府交代的其他工作。</w:t>
      </w:r>
    </w:p>
    <w:p>
      <w:pPr>
        <w:pStyle w:val="2"/>
        <w:numPr>
          <w:ilvl w:val="0"/>
          <w:numId w:val="0"/>
        </w:numPr>
        <w:ind w:leftChars="200" w:firstLine="320" w:firstLineChars="1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2、项目主要内容</w:t>
      </w:r>
    </w:p>
    <w:p>
      <w:pPr>
        <w:pStyle w:val="2"/>
        <w:numPr>
          <w:ilvl w:val="0"/>
          <w:numId w:val="0"/>
        </w:numPr>
        <w:spacing w:after="0"/>
        <w:ind w:left="0" w:leftChars="0" w:firstLine="640" w:firstLineChars="200"/>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2023年度本单位项目支出3686.61万元,其中：一般公共服务支出</w:t>
      </w:r>
      <w:r>
        <w:rPr>
          <w:rFonts w:hint="eastAsia" w:ascii="仿宋_GB2312" w:hAnsi="仿宋_GB2312" w:eastAsia="仿宋_GB2312" w:cs="仿宋_GB2312"/>
          <w:kern w:val="0"/>
          <w:sz w:val="32"/>
          <w:szCs w:val="32"/>
          <w:lang w:val="en-US" w:eastAsia="zh-CN" w:bidi="ar-SA"/>
        </w:rPr>
        <w:t>项目主要用于人大代表工作、信访工作开展</w:t>
      </w:r>
      <w:r>
        <w:rPr>
          <w:rFonts w:hint="default"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信息化建设，党建、组织等相关机构开展工作，保障黄茅洲镇人民政府正常运转。</w:t>
      </w:r>
      <w:r>
        <w:rPr>
          <w:rFonts w:hint="default" w:ascii="仿宋_GB2312" w:hAnsi="仿宋_GB2312" w:eastAsia="仿宋_GB2312" w:cs="仿宋_GB2312"/>
          <w:kern w:val="0"/>
          <w:sz w:val="32"/>
          <w:szCs w:val="32"/>
          <w:lang w:val="en-US" w:eastAsia="zh-CN" w:bidi="ar-SA"/>
        </w:rPr>
        <w:t>公共安全支出</w:t>
      </w:r>
      <w:r>
        <w:rPr>
          <w:rFonts w:hint="eastAsia" w:ascii="仿宋_GB2312" w:hAnsi="仿宋_GB2312" w:eastAsia="仿宋_GB2312" w:cs="仿宋_GB2312"/>
          <w:kern w:val="0"/>
          <w:sz w:val="32"/>
          <w:szCs w:val="32"/>
          <w:lang w:val="en-US" w:eastAsia="zh-CN" w:bidi="ar-SA"/>
        </w:rPr>
        <w:t>项目主要用于一般行政管理事务和公安工作开展</w:t>
      </w:r>
      <w:r>
        <w:rPr>
          <w:rFonts w:hint="default"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保障社会和谐稳定。</w:t>
      </w:r>
      <w:r>
        <w:rPr>
          <w:rFonts w:hint="default" w:ascii="仿宋_GB2312" w:hAnsi="仿宋_GB2312" w:eastAsia="仿宋_GB2312" w:cs="仿宋_GB2312"/>
          <w:kern w:val="0"/>
          <w:sz w:val="32"/>
          <w:szCs w:val="32"/>
          <w:lang w:val="en-US" w:eastAsia="zh-CN" w:bidi="ar-SA"/>
        </w:rPr>
        <w:t>教育支出</w:t>
      </w:r>
      <w:r>
        <w:rPr>
          <w:rFonts w:hint="eastAsia" w:ascii="仿宋_GB2312" w:hAnsi="仿宋_GB2312" w:eastAsia="仿宋_GB2312" w:cs="仿宋_GB2312"/>
          <w:kern w:val="0"/>
          <w:sz w:val="32"/>
          <w:szCs w:val="32"/>
          <w:lang w:val="en-US" w:eastAsia="zh-CN" w:bidi="ar-SA"/>
        </w:rPr>
        <w:t>项目主要用于教育工作开展，促进教育发展及校车正常运行。</w:t>
      </w:r>
      <w:r>
        <w:rPr>
          <w:rFonts w:hint="default" w:ascii="仿宋_GB2312" w:hAnsi="仿宋_GB2312" w:eastAsia="仿宋_GB2312" w:cs="仿宋_GB2312"/>
          <w:kern w:val="0"/>
          <w:sz w:val="32"/>
          <w:szCs w:val="32"/>
          <w:lang w:val="en-US" w:eastAsia="zh-CN" w:bidi="ar-SA"/>
        </w:rPr>
        <w:t>科学技术支出</w:t>
      </w:r>
      <w:r>
        <w:rPr>
          <w:rFonts w:hint="eastAsia" w:ascii="仿宋_GB2312" w:hAnsi="仿宋_GB2312" w:eastAsia="仿宋_GB2312" w:cs="仿宋_GB2312"/>
          <w:kern w:val="0"/>
          <w:sz w:val="32"/>
          <w:szCs w:val="32"/>
          <w:lang w:val="en-US" w:eastAsia="zh-CN" w:bidi="ar-SA"/>
        </w:rPr>
        <w:t>项目主要用于科学技术发展。</w:t>
      </w:r>
      <w:r>
        <w:rPr>
          <w:rFonts w:hint="default" w:ascii="仿宋_GB2312" w:hAnsi="仿宋_GB2312" w:eastAsia="仿宋_GB2312" w:cs="仿宋_GB2312"/>
          <w:kern w:val="0"/>
          <w:sz w:val="32"/>
          <w:szCs w:val="32"/>
          <w:lang w:val="en-US" w:eastAsia="zh-CN" w:bidi="ar-SA"/>
        </w:rPr>
        <w:t>文化旅游体育与传媒支出</w:t>
      </w:r>
      <w:r>
        <w:rPr>
          <w:rFonts w:hint="eastAsia" w:ascii="仿宋_GB2312" w:hAnsi="仿宋_GB2312" w:eastAsia="仿宋_GB2312" w:cs="仿宋_GB2312"/>
          <w:kern w:val="0"/>
          <w:sz w:val="32"/>
          <w:szCs w:val="32"/>
          <w:lang w:val="en-US" w:eastAsia="zh-CN" w:bidi="ar-SA"/>
        </w:rPr>
        <w:t>项目主要用于文化活动开展</w:t>
      </w:r>
      <w:r>
        <w:rPr>
          <w:rFonts w:hint="default"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保障文化事业发展，丰富人民群众文化生活。</w:t>
      </w:r>
      <w:r>
        <w:rPr>
          <w:rFonts w:hint="default" w:ascii="仿宋_GB2312" w:hAnsi="仿宋_GB2312" w:eastAsia="仿宋_GB2312" w:cs="仿宋_GB2312"/>
          <w:kern w:val="0"/>
          <w:sz w:val="32"/>
          <w:szCs w:val="32"/>
          <w:lang w:val="en-US" w:eastAsia="zh-CN" w:bidi="ar-SA"/>
        </w:rPr>
        <w:t>社会保障和就业支出</w:t>
      </w:r>
      <w:r>
        <w:rPr>
          <w:rFonts w:hint="eastAsia" w:ascii="仿宋_GB2312" w:hAnsi="仿宋_GB2312" w:eastAsia="仿宋_GB2312" w:cs="仿宋_GB2312"/>
          <w:kern w:val="0"/>
          <w:sz w:val="32"/>
          <w:szCs w:val="32"/>
          <w:lang w:val="en-US" w:eastAsia="zh-CN" w:bidi="ar-SA"/>
        </w:rPr>
        <w:t>项目主要用于民政、死亡抚恤、殡葬、残疾人事业发展、临时救助、农村特困人员救助供养，保障社会和谐稳定。</w:t>
      </w:r>
      <w:r>
        <w:rPr>
          <w:rFonts w:hint="default" w:ascii="仿宋_GB2312" w:hAnsi="仿宋_GB2312" w:eastAsia="仿宋_GB2312" w:cs="仿宋_GB2312"/>
          <w:kern w:val="0"/>
          <w:sz w:val="32"/>
          <w:szCs w:val="32"/>
          <w:lang w:val="en-US" w:eastAsia="zh-CN" w:bidi="ar-SA"/>
        </w:rPr>
        <w:t>卫生健康支出</w:t>
      </w:r>
      <w:r>
        <w:rPr>
          <w:rFonts w:hint="eastAsia" w:ascii="仿宋_GB2312" w:hAnsi="仿宋_GB2312" w:eastAsia="仿宋_GB2312" w:cs="仿宋_GB2312"/>
          <w:kern w:val="0"/>
          <w:sz w:val="32"/>
          <w:szCs w:val="32"/>
          <w:lang w:val="en-US" w:eastAsia="zh-CN" w:bidi="ar-SA"/>
        </w:rPr>
        <w:t>项目主要用于计划生育工作开展。</w:t>
      </w:r>
      <w:r>
        <w:rPr>
          <w:rFonts w:hint="default" w:ascii="仿宋_GB2312" w:hAnsi="仿宋_GB2312" w:eastAsia="仿宋_GB2312" w:cs="仿宋_GB2312"/>
          <w:kern w:val="0"/>
          <w:sz w:val="32"/>
          <w:szCs w:val="32"/>
          <w:lang w:val="en-US" w:eastAsia="zh-CN" w:bidi="ar-SA"/>
        </w:rPr>
        <w:t>节能环保支出</w:t>
      </w:r>
      <w:r>
        <w:rPr>
          <w:rFonts w:hint="eastAsia" w:ascii="仿宋_GB2312" w:hAnsi="仿宋_GB2312" w:eastAsia="仿宋_GB2312" w:cs="仿宋_GB2312"/>
          <w:kern w:val="0"/>
          <w:sz w:val="32"/>
          <w:szCs w:val="32"/>
          <w:lang w:val="en-US" w:eastAsia="zh-CN" w:bidi="ar-SA"/>
        </w:rPr>
        <w:t>项目主要用于污染防治和自然生态保护</w:t>
      </w:r>
      <w:r>
        <w:rPr>
          <w:rFonts w:hint="default"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改善我镇环境质量。</w:t>
      </w:r>
      <w:r>
        <w:rPr>
          <w:rFonts w:hint="default" w:ascii="仿宋_GB2312" w:hAnsi="仿宋_GB2312" w:eastAsia="仿宋_GB2312" w:cs="仿宋_GB2312"/>
          <w:kern w:val="0"/>
          <w:sz w:val="32"/>
          <w:szCs w:val="32"/>
          <w:lang w:val="en-US" w:eastAsia="zh-CN" w:bidi="ar-SA"/>
        </w:rPr>
        <w:t>城乡社区支出</w:t>
      </w:r>
      <w:r>
        <w:rPr>
          <w:rFonts w:hint="eastAsia" w:ascii="仿宋_GB2312" w:hAnsi="仿宋_GB2312" w:eastAsia="仿宋_GB2312" w:cs="仿宋_GB2312"/>
          <w:kern w:val="0"/>
          <w:sz w:val="32"/>
          <w:szCs w:val="32"/>
          <w:lang w:val="en-US" w:eastAsia="zh-CN" w:bidi="ar-SA"/>
        </w:rPr>
        <w:t>项目主要用于小城镇基础设施建设。</w:t>
      </w:r>
      <w:r>
        <w:rPr>
          <w:rFonts w:hint="default" w:ascii="仿宋_GB2312" w:hAnsi="仿宋_GB2312" w:eastAsia="仿宋_GB2312" w:cs="仿宋_GB2312"/>
          <w:kern w:val="0"/>
          <w:sz w:val="32"/>
          <w:szCs w:val="32"/>
          <w:lang w:val="en-US" w:eastAsia="zh-CN" w:bidi="ar-SA"/>
        </w:rPr>
        <w:t>农林水支出</w:t>
      </w:r>
      <w:r>
        <w:rPr>
          <w:rFonts w:hint="eastAsia" w:ascii="仿宋_GB2312" w:hAnsi="仿宋_GB2312" w:eastAsia="仿宋_GB2312" w:cs="仿宋_GB2312"/>
          <w:kern w:val="0"/>
          <w:sz w:val="32"/>
          <w:szCs w:val="32"/>
          <w:lang w:val="en-US" w:eastAsia="zh-CN" w:bidi="ar-SA"/>
        </w:rPr>
        <w:t>项目主要用于农业生产发展、乡村振兴项目、村级公益事业建设、棉花目标价格补贴</w:t>
      </w:r>
      <w:r>
        <w:rPr>
          <w:rFonts w:hint="default"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改善人民群众的生产生活情况。</w:t>
      </w:r>
      <w:r>
        <w:rPr>
          <w:rFonts w:hint="default" w:ascii="仿宋_GB2312" w:hAnsi="仿宋_GB2312" w:eastAsia="仿宋_GB2312" w:cs="仿宋_GB2312"/>
          <w:kern w:val="0"/>
          <w:sz w:val="32"/>
          <w:szCs w:val="32"/>
          <w:lang w:val="en-US" w:eastAsia="zh-CN" w:bidi="ar-SA"/>
        </w:rPr>
        <w:t>交通运输支出</w:t>
      </w:r>
      <w:r>
        <w:rPr>
          <w:rFonts w:hint="eastAsia" w:ascii="仿宋_GB2312" w:hAnsi="仿宋_GB2312" w:eastAsia="仿宋_GB2312" w:cs="仿宋_GB2312"/>
          <w:kern w:val="0"/>
          <w:sz w:val="32"/>
          <w:szCs w:val="32"/>
          <w:lang w:val="en-US" w:eastAsia="zh-CN" w:bidi="ar-SA"/>
        </w:rPr>
        <w:t>项目主要用于公路水路运输和其他交通运输</w:t>
      </w:r>
      <w:r>
        <w:rPr>
          <w:rFonts w:hint="default"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保障我镇交通运输的发展。</w:t>
      </w:r>
      <w:r>
        <w:rPr>
          <w:rFonts w:hint="default" w:ascii="仿宋_GB2312" w:hAnsi="仿宋_GB2312" w:eastAsia="仿宋_GB2312" w:cs="仿宋_GB2312"/>
          <w:kern w:val="0"/>
          <w:sz w:val="32"/>
          <w:szCs w:val="32"/>
          <w:lang w:val="en-US" w:eastAsia="zh-CN" w:bidi="ar-SA"/>
        </w:rPr>
        <w:t>自然资源海洋气象等支出</w:t>
      </w:r>
      <w:r>
        <w:rPr>
          <w:rFonts w:hint="eastAsia" w:ascii="仿宋_GB2312" w:hAnsi="仿宋_GB2312" w:eastAsia="仿宋_GB2312" w:cs="仿宋_GB2312"/>
          <w:kern w:val="0"/>
          <w:sz w:val="32"/>
          <w:szCs w:val="32"/>
          <w:lang w:val="en-US" w:eastAsia="zh-CN" w:bidi="ar-SA"/>
        </w:rPr>
        <w:t>项目主要用于其他自然资源事务和其他自然资源海洋气象发展。</w:t>
      </w:r>
      <w:r>
        <w:rPr>
          <w:rFonts w:hint="default" w:ascii="仿宋_GB2312" w:hAnsi="仿宋_GB2312" w:eastAsia="仿宋_GB2312" w:cs="仿宋_GB2312"/>
          <w:kern w:val="0"/>
          <w:sz w:val="32"/>
          <w:szCs w:val="32"/>
          <w:lang w:val="en-US" w:eastAsia="zh-CN" w:bidi="ar-SA"/>
        </w:rPr>
        <w:t>粮油物资储备支出</w:t>
      </w:r>
      <w:r>
        <w:rPr>
          <w:rFonts w:hint="eastAsia" w:ascii="仿宋_GB2312" w:hAnsi="仿宋_GB2312" w:eastAsia="仿宋_GB2312" w:cs="仿宋_GB2312"/>
          <w:kern w:val="0"/>
          <w:sz w:val="32"/>
          <w:szCs w:val="32"/>
          <w:lang w:val="en-US" w:eastAsia="zh-CN" w:bidi="ar-SA"/>
        </w:rPr>
        <w:t>主要用于村级基础设施建设。</w:t>
      </w:r>
      <w:r>
        <w:rPr>
          <w:rFonts w:hint="default" w:ascii="仿宋_GB2312" w:hAnsi="仿宋_GB2312" w:eastAsia="仿宋_GB2312" w:cs="仿宋_GB2312"/>
          <w:kern w:val="0"/>
          <w:sz w:val="32"/>
          <w:szCs w:val="32"/>
          <w:lang w:val="en-US" w:eastAsia="zh-CN" w:bidi="ar-SA"/>
        </w:rPr>
        <w:t>灾害防治及应急管理支出</w:t>
      </w:r>
      <w:r>
        <w:rPr>
          <w:rFonts w:hint="eastAsia" w:ascii="仿宋_GB2312" w:hAnsi="仿宋_GB2312" w:eastAsia="仿宋_GB2312" w:cs="仿宋_GB2312"/>
          <w:kern w:val="0"/>
          <w:sz w:val="32"/>
          <w:szCs w:val="32"/>
          <w:lang w:val="en-US" w:eastAsia="zh-CN" w:bidi="ar-SA"/>
        </w:rPr>
        <w:t>项目主要用于应急管理、消防救援事务和自然灾害救济。</w:t>
      </w:r>
    </w:p>
    <w:p>
      <w:pPr>
        <w:numPr>
          <w:ilvl w:val="0"/>
          <w:numId w:val="1"/>
        </w:numPr>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项目资金使用管理情况。</w:t>
      </w:r>
    </w:p>
    <w:p>
      <w:pPr>
        <w:pStyle w:val="2"/>
        <w:numPr>
          <w:ilvl w:val="0"/>
          <w:numId w:val="0"/>
        </w:numPr>
        <w:spacing w:after="0"/>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2023年度本单位项目支出3686.61万元,项目资金于2023年度全部到位。其中：一般公共服务支出473.19万元，公共安全支出36.82万元，教育支出40.18万元，科学技术支出2.8万元，文化旅游体育与传媒支出41.6万元，社会保障和就业支出363.17万元，卫生健康支出4.42万元，节能环保支出59万元，城乡社区支出568.39万元，农林水支出1153.77万元，交通运输支出64万元，自然资源海洋气象等支出24万元，粮油物资储备支出155万元，灾害防治及应急管理支出7.77万元，其他支出692.5万元。</w:t>
      </w:r>
    </w:p>
    <w:p>
      <w:pPr>
        <w:numPr>
          <w:ilvl w:val="0"/>
          <w:numId w:val="1"/>
        </w:numPr>
        <w:spacing w:line="600" w:lineRule="exact"/>
        <w:ind w:left="0" w:leftChars="0"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项目支出绩效目标完成程度。</w:t>
      </w:r>
    </w:p>
    <w:p>
      <w:pPr>
        <w:pStyle w:val="2"/>
        <w:numPr>
          <w:ilvl w:val="0"/>
          <w:numId w:val="0"/>
        </w:numPr>
        <w:spacing w:after="0"/>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2023年度本单位项目的预期总目标是完成本级政府和上级政府布置的各项工作，圆满完成年度各项任务。并保障本级政府教育、社会保障和就业、城乡社区、农林水事业、交通运输事业、卫生健康事业的发展。</w:t>
      </w:r>
    </w:p>
    <w:p>
      <w:pPr>
        <w:numPr>
          <w:ilvl w:val="0"/>
          <w:numId w:val="2"/>
        </w:numPr>
        <w:spacing w:line="600" w:lineRule="exact"/>
        <w:ind w:left="0" w:leftChars="0" w:firstLine="627" w:firstLineChars="196"/>
        <w:rPr>
          <w:rFonts w:hint="default" w:eastAsia="黑体"/>
          <w:sz w:val="32"/>
          <w:szCs w:val="32"/>
          <w:lang w:val="en-US" w:eastAsia="zh-CN"/>
        </w:rPr>
      </w:pPr>
      <w:r>
        <w:rPr>
          <w:rFonts w:hint="default" w:eastAsia="黑体"/>
          <w:sz w:val="32"/>
          <w:szCs w:val="32"/>
          <w:lang w:val="en-US" w:eastAsia="zh-CN"/>
        </w:rPr>
        <w:t>绩效评价工作</w:t>
      </w:r>
      <w:r>
        <w:rPr>
          <w:rFonts w:hint="eastAsia" w:eastAsia="黑体"/>
          <w:sz w:val="32"/>
          <w:szCs w:val="32"/>
          <w:lang w:val="en-US" w:eastAsia="zh-CN"/>
        </w:rPr>
        <w:t>开展</w:t>
      </w:r>
      <w:r>
        <w:rPr>
          <w:rFonts w:hint="default" w:eastAsia="黑体"/>
          <w:sz w:val="32"/>
          <w:szCs w:val="32"/>
          <w:lang w:val="en-US" w:eastAsia="zh-CN"/>
        </w:rPr>
        <w:t>情况</w:t>
      </w:r>
    </w:p>
    <w:p>
      <w:pPr>
        <w:pStyle w:val="2"/>
        <w:numPr>
          <w:ilvl w:val="0"/>
          <w:numId w:val="3"/>
        </w:numPr>
        <w:spacing w:after="0"/>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绩效评价目的、对象和范围</w:t>
      </w:r>
    </w:p>
    <w:p>
      <w:pPr>
        <w:numPr>
          <w:ilvl w:val="0"/>
          <w:numId w:val="4"/>
        </w:numPr>
        <w:spacing w:line="60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绩效评价目的</w:t>
      </w:r>
    </w:p>
    <w:p>
      <w:pPr>
        <w:pStyle w:val="2"/>
        <w:numPr>
          <w:ilvl w:val="0"/>
          <w:numId w:val="0"/>
        </w:numPr>
        <w:spacing w:after="0"/>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根据沅江市财政局的工作部署和要求，运用科学、规范的绩效评价方法，客观、公正的对2023年度项目支出进行评价，以反映项目资金的绩效，通过绩效评价，树立绩效管理理念，做好预算绩效管理，提高财政资金效益。</w:t>
      </w:r>
    </w:p>
    <w:p>
      <w:pPr>
        <w:pStyle w:val="2"/>
        <w:numPr>
          <w:ilvl w:val="0"/>
          <w:numId w:val="4"/>
        </w:numPr>
        <w:spacing w:after="0"/>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绩效评价对象和范围</w:t>
      </w:r>
    </w:p>
    <w:p>
      <w:pPr>
        <w:pStyle w:val="2"/>
        <w:numPr>
          <w:ilvl w:val="0"/>
          <w:numId w:val="0"/>
        </w:numPr>
        <w:spacing w:after="0"/>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本次项目绩效评价对象和范围是2023年度财政拨付的项目。</w:t>
      </w:r>
    </w:p>
    <w:p>
      <w:pPr>
        <w:pStyle w:val="2"/>
        <w:numPr>
          <w:ilvl w:val="0"/>
          <w:numId w:val="3"/>
        </w:numPr>
        <w:spacing w:after="0"/>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绩效评价原则、评价指标体系、评价方法、评价标准等</w:t>
      </w:r>
    </w:p>
    <w:p>
      <w:pPr>
        <w:pStyle w:val="2"/>
        <w:numPr>
          <w:ilvl w:val="0"/>
          <w:numId w:val="0"/>
        </w:numPr>
        <w:spacing w:after="0"/>
        <w:ind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1、绩效评价原则</w:t>
      </w:r>
    </w:p>
    <w:p>
      <w:pPr>
        <w:pStyle w:val="2"/>
        <w:numPr>
          <w:ilvl w:val="0"/>
          <w:numId w:val="0"/>
        </w:numPr>
        <w:spacing w:after="0"/>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（1）科学规范原则。绩效评价应当严格执行规定的程序，按照科学可行的要求，采用定量与定性分析相结合的方法。</w:t>
      </w:r>
    </w:p>
    <w:p>
      <w:pPr>
        <w:pStyle w:val="2"/>
        <w:numPr>
          <w:ilvl w:val="0"/>
          <w:numId w:val="0"/>
        </w:numPr>
        <w:spacing w:after="0"/>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（2）绩效相关原则。绩效评价应当针对具体支出及其产出绩效进行，评价结果应当</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t>清晰反映支出与产出绩效之间的紧密对应关系。</w:t>
      </w:r>
    </w:p>
    <w:p>
      <w:pPr>
        <w:pStyle w:val="2"/>
        <w:numPr>
          <w:ilvl w:val="0"/>
          <w:numId w:val="0"/>
        </w:numPr>
        <w:spacing w:after="0"/>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（3）公开公正原则。绩效评价应当符合真实、客观、公正的要求，依法公开并接受监督。</w:t>
      </w:r>
    </w:p>
    <w:p>
      <w:pPr>
        <w:pStyle w:val="2"/>
        <w:numPr>
          <w:ilvl w:val="0"/>
          <w:numId w:val="0"/>
        </w:numPr>
        <w:spacing w:after="0"/>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2、评价指标体系</w:t>
      </w:r>
    </w:p>
    <w:p>
      <w:pPr>
        <w:pStyle w:val="2"/>
        <w:numPr>
          <w:ilvl w:val="0"/>
          <w:numId w:val="0"/>
        </w:numPr>
        <w:spacing w:after="0"/>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绩效评价指标体系包括产出指标、效益指标、满意度指标和成本指标四个部分，具体评价指标体系见《2023年度项目支出绩效自评表》。</w:t>
      </w:r>
    </w:p>
    <w:p>
      <w:pPr>
        <w:pStyle w:val="2"/>
        <w:numPr>
          <w:ilvl w:val="0"/>
          <w:numId w:val="4"/>
        </w:numPr>
        <w:spacing w:after="0"/>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评价方法</w:t>
      </w:r>
    </w:p>
    <w:p>
      <w:pPr>
        <w:pStyle w:val="2"/>
        <w:numPr>
          <w:ilvl w:val="0"/>
          <w:numId w:val="0"/>
        </w:numPr>
        <w:spacing w:after="0"/>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2023年度项目采用定量与定性相结合的比较法，总分由各项指标得分汇总形成。</w:t>
      </w:r>
    </w:p>
    <w:p>
      <w:pPr>
        <w:pStyle w:val="2"/>
        <w:numPr>
          <w:ilvl w:val="0"/>
          <w:numId w:val="5"/>
        </w:numPr>
        <w:spacing w:after="0"/>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定量指标评定方法：与年初指标值相比，完成指标值的，计该指标所赋全部分值；对完成值高于指标值较多的，要分析原因；未完成指标值的，按照完成值与指标值的比例计分。</w:t>
      </w:r>
    </w:p>
    <w:p>
      <w:pPr>
        <w:pStyle w:val="2"/>
        <w:numPr>
          <w:ilvl w:val="0"/>
          <w:numId w:val="5"/>
        </w:numPr>
        <w:spacing w:after="0"/>
        <w:ind w:left="0" w:leftChars="0" w:firstLine="640" w:firstLineChars="20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定性指标评定方法：根据指标完成情况分为达成年度指标、部分达成年度指标并具有一定效果、未达成年度指标且效果较差三档。分别按照该指标对应分值区间100%-60%（含）、60%-30%（含）、30%-0%（含）合理确定分值。</w:t>
      </w:r>
    </w:p>
    <w:p>
      <w:pPr>
        <w:pStyle w:val="2"/>
        <w:numPr>
          <w:ilvl w:val="0"/>
          <w:numId w:val="3"/>
        </w:numPr>
        <w:spacing w:after="0"/>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绩效评价工作过程</w:t>
      </w:r>
    </w:p>
    <w:p>
      <w:pPr>
        <w:pStyle w:val="2"/>
        <w:numPr>
          <w:ilvl w:val="0"/>
          <w:numId w:val="6"/>
        </w:numPr>
        <w:spacing w:after="0"/>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前期准备：下发通知，单位自评。绩效评价小组开展调查研究、分析讨论并形成绩效评价工作方案，为后期的数据获取做了充分的准备。</w:t>
      </w:r>
    </w:p>
    <w:p>
      <w:pPr>
        <w:pStyle w:val="2"/>
        <w:numPr>
          <w:ilvl w:val="0"/>
          <w:numId w:val="6"/>
        </w:numPr>
        <w:spacing w:after="0"/>
        <w:ind w:left="0" w:leftChars="0" w:firstLine="640" w:firstLineChars="20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组织实施：通过座谈等方式了解项目实施情况，整理项目相关资料，设计绩效评价指标体系。</w:t>
      </w:r>
    </w:p>
    <w:p>
      <w:pPr>
        <w:pStyle w:val="2"/>
        <w:numPr>
          <w:ilvl w:val="0"/>
          <w:numId w:val="6"/>
        </w:numPr>
        <w:spacing w:after="0"/>
        <w:ind w:left="0" w:leftChars="0" w:firstLine="640" w:firstLineChars="20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分析评价：整理分析获取的基础数据等资料，依据制定的评价标准进行评价指标打分，根据结果提出建议并完成绩效评价报告。</w:t>
      </w:r>
    </w:p>
    <w:p>
      <w:pPr>
        <w:numPr>
          <w:ilvl w:val="0"/>
          <w:numId w:val="2"/>
        </w:numPr>
        <w:spacing w:line="600" w:lineRule="exact"/>
        <w:ind w:left="0" w:leftChars="0" w:firstLine="627" w:firstLineChars="196"/>
        <w:rPr>
          <w:rFonts w:hint="eastAsia" w:eastAsia="黑体"/>
          <w:sz w:val="32"/>
          <w:szCs w:val="32"/>
          <w:lang w:val="en-US" w:eastAsia="zh-CN"/>
        </w:rPr>
      </w:pPr>
      <w:r>
        <w:rPr>
          <w:rFonts w:hint="default" w:eastAsia="黑体"/>
          <w:sz w:val="32"/>
          <w:szCs w:val="32"/>
          <w:lang w:val="en-US" w:eastAsia="zh-CN"/>
        </w:rPr>
        <w:t>项目支出主要绩效及评价结论</w:t>
      </w:r>
      <w:r>
        <w:rPr>
          <w:rFonts w:hint="eastAsia" w:eastAsia="黑体"/>
          <w:sz w:val="32"/>
          <w:szCs w:val="32"/>
          <w:lang w:val="en-US" w:eastAsia="zh-CN"/>
        </w:rPr>
        <w:t>。</w:t>
      </w:r>
    </w:p>
    <w:p>
      <w:pPr>
        <w:pStyle w:val="2"/>
        <w:numPr>
          <w:ilvl w:val="0"/>
          <w:numId w:val="0"/>
        </w:numPr>
        <w:spacing w:after="0"/>
        <w:ind w:firstLine="640" w:firstLineChars="20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本次绩效评价遵循科学规范、公开公正、绩效相关的原则，重点评价项目资金投入、项目产出效果和效益，项目持续影响力以及社会综合评价等四方面，得出2023年度项目绩效评价综合得分100分，等级为优。</w:t>
      </w:r>
    </w:p>
    <w:p>
      <w:pPr>
        <w:numPr>
          <w:ilvl w:val="0"/>
          <w:numId w:val="2"/>
        </w:numPr>
        <w:spacing w:line="600" w:lineRule="exact"/>
        <w:ind w:left="0" w:leftChars="0" w:firstLine="627" w:firstLineChars="196"/>
        <w:rPr>
          <w:rFonts w:hint="default" w:eastAsia="黑体"/>
          <w:sz w:val="32"/>
          <w:szCs w:val="32"/>
          <w:lang w:val="en-US" w:eastAsia="zh-CN"/>
        </w:rPr>
      </w:pPr>
      <w:r>
        <w:rPr>
          <w:rFonts w:hint="default" w:eastAsia="黑体"/>
          <w:sz w:val="32"/>
          <w:szCs w:val="32"/>
          <w:lang w:val="en-US" w:eastAsia="zh-CN"/>
        </w:rPr>
        <w:t>绩效评价指标分析</w:t>
      </w:r>
    </w:p>
    <w:p>
      <w:pPr>
        <w:numPr>
          <w:ilvl w:val="0"/>
          <w:numId w:val="7"/>
        </w:numPr>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项目支出决策情况</w:t>
      </w:r>
    </w:p>
    <w:p>
      <w:pPr>
        <w:pStyle w:val="2"/>
        <w:numPr>
          <w:ilvl w:val="0"/>
          <w:numId w:val="0"/>
        </w:numPr>
        <w:spacing w:after="0"/>
        <w:ind w:firstLine="640" w:firstLineChars="20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项目决策类指标主要考察项目立项依据的充分性和规范性；绩效目标设定的合理性和明确性；预算编制科学性和资金分配合理性等。绩效目标指标值10分，实际得分10分。项目在建库时候进行了绩效目标申报，项目绩效目标在产出、效益、满意度、成本指标方面设置的绩效指标基本细化、量化。</w:t>
      </w:r>
    </w:p>
    <w:p>
      <w:pPr>
        <w:numPr>
          <w:ilvl w:val="0"/>
          <w:numId w:val="7"/>
        </w:numPr>
        <w:spacing w:line="600" w:lineRule="exact"/>
        <w:ind w:left="0" w:leftChars="0"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项目执行过程情况</w:t>
      </w:r>
    </w:p>
    <w:p>
      <w:pPr>
        <w:pStyle w:val="2"/>
        <w:numPr>
          <w:ilvl w:val="0"/>
          <w:numId w:val="0"/>
        </w:numPr>
        <w:spacing w:after="0"/>
        <w:ind w:firstLine="640" w:firstLineChars="20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项目过程类指标主要考察项目资金到位、执行情况及资金使用合规性情况；项目组织实施过程中管理制度健全性情况及制度执行有效性情况。资金管理指标分值10分，实际得分10分。2023年度项目资金共计3686.61万元，实际到位3686.61万元，资金到位率100%。2023年度项目支出3686.61万元，预算执行率100%。2023年度项目资金支出严格遵守国家财经法规和财务管理制度以及相关专项资金管理办法的规定，项目资金的拨付与预算批复一致，资金支出通过财政国库集中支付，合同规定的用途使用资金，项目资金不存在截留、挤占、挪用等情况。</w:t>
      </w:r>
    </w:p>
    <w:p>
      <w:pPr>
        <w:numPr>
          <w:ilvl w:val="0"/>
          <w:numId w:val="7"/>
        </w:numPr>
        <w:spacing w:line="600" w:lineRule="exact"/>
        <w:ind w:left="0" w:leftChars="0"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项目支出产出情况</w:t>
      </w:r>
    </w:p>
    <w:p>
      <w:pPr>
        <w:pStyle w:val="2"/>
        <w:numPr>
          <w:ilvl w:val="0"/>
          <w:numId w:val="0"/>
        </w:numPr>
        <w:spacing w:after="0"/>
        <w:ind w:firstLine="640" w:firstLineChars="20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项目产出类指标主要是通过项目产出数量、产出质量、产出时效指标来考核项目完成情况。产出数量指标分值20分，实际得分20分。2023年度项目预算执行率100%，达到年初指标值100%；二是工程完成率100%，达到年初指标值100%。产出质量指标分值20分，实际得分20分。管理制度健全性100%，达到年初值100%。产出时效指标分值10分，实际得分10分。2023年度项目都在计划完成时间内完成项目的各项工作。</w:t>
      </w:r>
    </w:p>
    <w:p>
      <w:pPr>
        <w:numPr>
          <w:ilvl w:val="0"/>
          <w:numId w:val="7"/>
        </w:numPr>
        <w:spacing w:line="600" w:lineRule="exact"/>
        <w:ind w:left="0" w:leftChars="0"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项目支出效益情况</w:t>
      </w:r>
    </w:p>
    <w:p>
      <w:pPr>
        <w:pStyle w:val="2"/>
        <w:numPr>
          <w:ilvl w:val="0"/>
          <w:numId w:val="0"/>
        </w:numPr>
        <w:spacing w:after="0"/>
        <w:ind w:firstLine="640" w:firstLineChars="20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项目效益类指标主要是反映项目实施取得的成效。社会效益指标分值30分，实际得分30分。社会效益指标年度指标值为改善人民群众的生产生活情况，实际对人民群众的生产生活有所改善程度明显。满意度指标分值10分，实际得分10分。满意度指标年度指标值为服务对象满意度情况≧90%。2023年度通过电话等方式，统计服务对象满意度情况为90%。</w:t>
      </w:r>
    </w:p>
    <w:p>
      <w:pPr>
        <w:spacing w:line="600" w:lineRule="exact"/>
        <w:ind w:firstLine="640" w:firstLineChars="200"/>
        <w:rPr>
          <w:rFonts w:hint="default" w:eastAsia="黑体"/>
          <w:sz w:val="32"/>
          <w:szCs w:val="32"/>
          <w:lang w:val="en-US" w:eastAsia="zh-CN"/>
        </w:rPr>
      </w:pPr>
      <w:r>
        <w:rPr>
          <w:rFonts w:hint="default" w:eastAsia="黑体"/>
          <w:sz w:val="32"/>
          <w:szCs w:val="32"/>
          <w:lang w:val="en-US" w:eastAsia="zh-CN"/>
        </w:rPr>
        <w:t>五、主要经验及做法、存在的问题及原因分析</w:t>
      </w:r>
    </w:p>
    <w:p>
      <w:pPr>
        <w:pStyle w:val="2"/>
        <w:numPr>
          <w:ilvl w:val="0"/>
          <w:numId w:val="0"/>
        </w:numPr>
        <w:spacing w:after="0"/>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(一）主要经验及做法</w:t>
      </w:r>
    </w:p>
    <w:p>
      <w:pPr>
        <w:pStyle w:val="2"/>
        <w:numPr>
          <w:ilvl w:val="0"/>
          <w:numId w:val="0"/>
        </w:numPr>
        <w:spacing w:after="0"/>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强化统筹安排和职责分工，提高预算编制、绩效目标和绩效指标设置的科学性和完整性；加强财务人员和项目实施人员政策和业务知识的学习培训，规范使用资金，提高资金使用效益；加强内控建设，建立健全各项管理制度，提高预算绩效管理工作质量。</w:t>
      </w:r>
    </w:p>
    <w:p>
      <w:pPr>
        <w:pStyle w:val="2"/>
        <w:numPr>
          <w:ilvl w:val="0"/>
          <w:numId w:val="8"/>
        </w:numPr>
        <w:spacing w:after="0"/>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存在的问题及原因分析</w:t>
      </w:r>
    </w:p>
    <w:p>
      <w:pPr>
        <w:pStyle w:val="2"/>
        <w:numPr>
          <w:ilvl w:val="0"/>
          <w:numId w:val="9"/>
        </w:numPr>
        <w:spacing w:after="0"/>
        <w:ind w:leftChars="20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绩效指标设定的科学性和完整性有待加强，因工作人员业务熟悉程度不够，对项目不太了解，在编制过程中经验不足，绩效指标设置不够科学完整；</w:t>
      </w:r>
    </w:p>
    <w:p>
      <w:pPr>
        <w:pStyle w:val="2"/>
        <w:numPr>
          <w:ilvl w:val="0"/>
          <w:numId w:val="9"/>
        </w:numPr>
        <w:spacing w:after="0"/>
        <w:ind w:leftChars="20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预算执行的统筹性有待进一步加强，因项目实施受各种原因影响导致进度慢，预算执行进度也会有所影响。</w:t>
      </w:r>
    </w:p>
    <w:p>
      <w:pPr>
        <w:numPr>
          <w:ilvl w:val="0"/>
          <w:numId w:val="10"/>
        </w:numPr>
        <w:spacing w:line="600" w:lineRule="exact"/>
        <w:ind w:left="0" w:leftChars="0" w:firstLine="640" w:firstLineChars="200"/>
        <w:rPr>
          <w:rFonts w:hint="default" w:eastAsia="黑体"/>
          <w:sz w:val="32"/>
          <w:szCs w:val="32"/>
          <w:lang w:val="en-US" w:eastAsia="zh-CN"/>
        </w:rPr>
      </w:pPr>
      <w:r>
        <w:rPr>
          <w:rFonts w:hint="default" w:eastAsia="黑体"/>
          <w:sz w:val="32"/>
          <w:szCs w:val="32"/>
          <w:lang w:val="en-US" w:eastAsia="zh-CN"/>
        </w:rPr>
        <w:t>有关建议</w:t>
      </w:r>
    </w:p>
    <w:p>
      <w:pPr>
        <w:pStyle w:val="2"/>
        <w:numPr>
          <w:ilvl w:val="0"/>
          <w:numId w:val="0"/>
        </w:numPr>
        <w:spacing w:after="0"/>
        <w:ind w:firstLine="640" w:firstLineChars="20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应大力推进部门预算绩效管理意识培养，领导参与相关工作，高度重视预算绩效管理工作；应成立部门预算绩效管理工作领导小组，负责组织、协调、评价、考核、管理预算绩效相关工作。而不是简单的由财务人员全盘填报，项目负责人员不参与绩效评价管理工作。</w:t>
      </w:r>
    </w:p>
    <w:p>
      <w:pPr>
        <w:numPr>
          <w:ilvl w:val="0"/>
          <w:numId w:val="10"/>
        </w:numPr>
        <w:spacing w:line="600" w:lineRule="exact"/>
        <w:ind w:left="0" w:leftChars="0" w:firstLine="640" w:firstLineChars="200"/>
        <w:rPr>
          <w:rFonts w:hint="default" w:eastAsia="黑体"/>
          <w:sz w:val="32"/>
          <w:szCs w:val="32"/>
          <w:lang w:val="en-US" w:eastAsia="zh-CN"/>
        </w:rPr>
      </w:pPr>
      <w:r>
        <w:rPr>
          <w:rFonts w:hint="default" w:eastAsia="黑体"/>
          <w:sz w:val="32"/>
          <w:szCs w:val="32"/>
          <w:lang w:val="en-US" w:eastAsia="zh-CN"/>
        </w:rPr>
        <w:t>其他需要说明的问题</w:t>
      </w:r>
    </w:p>
    <w:p>
      <w:pPr>
        <w:pStyle w:val="2"/>
        <w:numPr>
          <w:ilvl w:val="0"/>
          <w:numId w:val="0"/>
        </w:numPr>
        <w:spacing w:after="0"/>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无</w:t>
      </w:r>
    </w:p>
    <w:p>
      <w:pPr>
        <w:pStyle w:val="2"/>
        <w:numPr>
          <w:ilvl w:val="0"/>
          <w:numId w:val="0"/>
        </w:numPr>
        <w:spacing w:after="0"/>
        <w:ind w:firstLine="640" w:firstLineChars="200"/>
        <w:rPr>
          <w:rFonts w:hint="eastAsia" w:ascii="仿宋_GB2312" w:hAnsi="仿宋_GB2312" w:eastAsia="仿宋_GB2312" w:cs="仿宋_GB2312"/>
          <w:kern w:val="0"/>
          <w:sz w:val="32"/>
          <w:szCs w:val="32"/>
          <w:lang w:val="en-US" w:eastAsia="zh-CN" w:bidi="ar-SA"/>
        </w:rPr>
      </w:pPr>
    </w:p>
    <w:p>
      <w:pPr>
        <w:pStyle w:val="2"/>
        <w:numPr>
          <w:ilvl w:val="0"/>
          <w:numId w:val="0"/>
        </w:numPr>
        <w:spacing w:after="0"/>
        <w:ind w:firstLine="640" w:firstLineChars="200"/>
        <w:rPr>
          <w:rFonts w:hint="default" w:ascii="仿宋_GB2312" w:hAnsi="仿宋_GB2312" w:eastAsia="仿宋_GB2312" w:cs="仿宋_GB2312"/>
          <w:kern w:val="0"/>
          <w:sz w:val="32"/>
          <w:szCs w:val="32"/>
          <w:lang w:val="en-US" w:eastAsia="zh-CN" w:bidi="ar-SA"/>
        </w:rPr>
      </w:pPr>
    </w:p>
    <w:p>
      <w:pPr>
        <w:tabs>
          <w:tab w:val="left" w:pos="1603"/>
        </w:tabs>
        <w:bidi w:val="0"/>
        <w:ind w:firstLine="960" w:firstLineChars="300"/>
        <w:jc w:val="left"/>
        <w:rPr>
          <w:rFonts w:hint="eastAsia" w:ascii="方正楷体_GBK" w:hAnsi="方正楷体_GBK" w:eastAsia="方正楷体_GBK" w:cs="方正楷体_GBK"/>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6E937"/>
    <w:multiLevelType w:val="singleLevel"/>
    <w:tmpl w:val="8B86E937"/>
    <w:lvl w:ilvl="0" w:tentative="0">
      <w:start w:val="1"/>
      <w:numFmt w:val="chineseCounting"/>
      <w:suff w:val="nothing"/>
      <w:lvlText w:val="（%1）"/>
      <w:lvlJc w:val="left"/>
      <w:rPr>
        <w:rFonts w:hint="eastAsia"/>
      </w:rPr>
    </w:lvl>
  </w:abstractNum>
  <w:abstractNum w:abstractNumId="1">
    <w:nsid w:val="93773B13"/>
    <w:multiLevelType w:val="singleLevel"/>
    <w:tmpl w:val="93773B13"/>
    <w:lvl w:ilvl="0" w:tentative="0">
      <w:start w:val="1"/>
      <w:numFmt w:val="chineseCounting"/>
      <w:suff w:val="nothing"/>
      <w:lvlText w:val="（%1）"/>
      <w:lvlJc w:val="left"/>
      <w:rPr>
        <w:rFonts w:hint="eastAsia"/>
      </w:rPr>
    </w:lvl>
  </w:abstractNum>
  <w:abstractNum w:abstractNumId="2">
    <w:nsid w:val="A9D2AC79"/>
    <w:multiLevelType w:val="singleLevel"/>
    <w:tmpl w:val="A9D2AC79"/>
    <w:lvl w:ilvl="0" w:tentative="0">
      <w:start w:val="2"/>
      <w:numFmt w:val="chineseCounting"/>
      <w:suff w:val="nothing"/>
      <w:lvlText w:val="（%1）"/>
      <w:lvlJc w:val="left"/>
      <w:rPr>
        <w:rFonts w:hint="eastAsia"/>
      </w:rPr>
    </w:lvl>
  </w:abstractNum>
  <w:abstractNum w:abstractNumId="3">
    <w:nsid w:val="DA912B97"/>
    <w:multiLevelType w:val="singleLevel"/>
    <w:tmpl w:val="DA912B97"/>
    <w:lvl w:ilvl="0" w:tentative="0">
      <w:start w:val="1"/>
      <w:numFmt w:val="decimal"/>
      <w:suff w:val="nothing"/>
      <w:lvlText w:val="%1、"/>
      <w:lvlJc w:val="left"/>
    </w:lvl>
  </w:abstractNum>
  <w:abstractNum w:abstractNumId="4">
    <w:nsid w:val="FBFD0F1B"/>
    <w:multiLevelType w:val="singleLevel"/>
    <w:tmpl w:val="FBFD0F1B"/>
    <w:lvl w:ilvl="0" w:tentative="0">
      <w:start w:val="1"/>
      <w:numFmt w:val="chineseCounting"/>
      <w:suff w:val="nothing"/>
      <w:lvlText w:val="%1、"/>
      <w:lvlJc w:val="left"/>
      <w:rPr>
        <w:rFonts w:hint="eastAsia"/>
      </w:rPr>
    </w:lvl>
  </w:abstractNum>
  <w:abstractNum w:abstractNumId="5">
    <w:nsid w:val="31B4D442"/>
    <w:multiLevelType w:val="singleLevel"/>
    <w:tmpl w:val="31B4D442"/>
    <w:lvl w:ilvl="0" w:tentative="0">
      <w:start w:val="1"/>
      <w:numFmt w:val="decimal"/>
      <w:suff w:val="nothing"/>
      <w:lvlText w:val="%1、"/>
      <w:lvlJc w:val="left"/>
    </w:lvl>
  </w:abstractNum>
  <w:abstractNum w:abstractNumId="6">
    <w:nsid w:val="335C5745"/>
    <w:multiLevelType w:val="singleLevel"/>
    <w:tmpl w:val="335C5745"/>
    <w:lvl w:ilvl="0" w:tentative="0">
      <w:start w:val="2"/>
      <w:numFmt w:val="chineseCounting"/>
      <w:suff w:val="nothing"/>
      <w:lvlText w:val="（%1）"/>
      <w:lvlJc w:val="left"/>
      <w:rPr>
        <w:rFonts w:hint="eastAsia"/>
      </w:rPr>
    </w:lvl>
  </w:abstractNum>
  <w:abstractNum w:abstractNumId="7">
    <w:nsid w:val="375B3194"/>
    <w:multiLevelType w:val="singleLevel"/>
    <w:tmpl w:val="375B3194"/>
    <w:lvl w:ilvl="0" w:tentative="0">
      <w:start w:val="1"/>
      <w:numFmt w:val="decimal"/>
      <w:suff w:val="nothing"/>
      <w:lvlText w:val="（%1）"/>
      <w:lvlJc w:val="left"/>
    </w:lvl>
  </w:abstractNum>
  <w:abstractNum w:abstractNumId="8">
    <w:nsid w:val="61D1D451"/>
    <w:multiLevelType w:val="singleLevel"/>
    <w:tmpl w:val="61D1D451"/>
    <w:lvl w:ilvl="0" w:tentative="0">
      <w:start w:val="1"/>
      <w:numFmt w:val="decimal"/>
      <w:suff w:val="nothing"/>
      <w:lvlText w:val="%1、"/>
      <w:lvlJc w:val="left"/>
    </w:lvl>
  </w:abstractNum>
  <w:abstractNum w:abstractNumId="9">
    <w:nsid w:val="7BAE85F0"/>
    <w:multiLevelType w:val="singleLevel"/>
    <w:tmpl w:val="7BAE85F0"/>
    <w:lvl w:ilvl="0" w:tentative="0">
      <w:start w:val="5"/>
      <w:numFmt w:val="chineseCounting"/>
      <w:suff w:val="nothing"/>
      <w:lvlText w:val="%1、"/>
      <w:lvlJc w:val="left"/>
      <w:rPr>
        <w:rFonts w:hint="eastAsia"/>
      </w:rPr>
    </w:lvl>
  </w:abstractNum>
  <w:num w:numId="1">
    <w:abstractNumId w:val="2"/>
  </w:num>
  <w:num w:numId="2">
    <w:abstractNumId w:val="4"/>
  </w:num>
  <w:num w:numId="3">
    <w:abstractNumId w:val="1"/>
  </w:num>
  <w:num w:numId="4">
    <w:abstractNumId w:val="8"/>
  </w:num>
  <w:num w:numId="5">
    <w:abstractNumId w:val="7"/>
  </w:num>
  <w:num w:numId="6">
    <w:abstractNumId w:val="3"/>
  </w:num>
  <w:num w:numId="7">
    <w:abstractNumId w:val="0"/>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IzMTY1ZTljOTc0ZmY4NTAyZGJkZWIxMjI4NDAifQ=="/>
  </w:docVars>
  <w:rsids>
    <w:rsidRoot w:val="1B8C524D"/>
    <w:rsid w:val="1B8C5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pPr>
  </w:style>
  <w:style w:type="paragraph" w:customStyle="1" w:styleId="3">
    <w:name w:val="BodyTextIndent"/>
    <w:basedOn w:val="1"/>
    <w:qFormat/>
    <w:uiPriority w:val="0"/>
    <w:pPr>
      <w:spacing w:after="120"/>
      <w:ind w:left="420" w:leftChars="200" w:firstLine="200" w:firstLineChars="200"/>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2024-05-20T02:51:00Z</dcterms:created>
  <dc:creator>Administrator</dc:creator>
  <cp:lastModifiedBy>Administrator</cp:lastModifiedBy>
  <dcterms:modified xsi:type="dcterms:W3CDTF">2024-05-20T02:52:23Z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EDB35B3671D44A3C90A6922C6DA6DE9C_11</vt:lpwstr>
  </property>
</Properties>
</file>