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 w:hAnsi="仿宋" w:eastAsia="仿宋" w:cs="仿宋"/>
          <w:szCs w:val="28"/>
        </w:rPr>
      </w:pPr>
      <w:bookmarkStart w:id="0" w:name="_GoBack"/>
      <w:bookmarkEnd w:id="0"/>
    </w:p>
    <w:p>
      <w:pPr>
        <w:spacing w:line="600" w:lineRule="exact"/>
        <w:rPr>
          <w:rFonts w:hint="eastAsia" w:ascii="仿宋" w:hAnsi="仿宋" w:eastAsia="仿宋" w:cs="仿宋"/>
          <w:szCs w:val="28"/>
        </w:rPr>
      </w:pPr>
    </w:p>
    <w:p>
      <w:pPr>
        <w:spacing w:line="480" w:lineRule="auto"/>
        <w:jc w:val="center"/>
        <w:rPr>
          <w:rFonts w:hint="eastAsia" w:ascii="仿宋" w:hAnsi="仿宋" w:eastAsia="仿宋" w:cs="仿宋"/>
          <w:b/>
          <w:sz w:val="36"/>
          <w:szCs w:val="36"/>
        </w:rPr>
      </w:pPr>
      <w:r>
        <w:rPr>
          <w:rFonts w:hint="eastAsia" w:ascii="仿宋" w:hAnsi="仿宋" w:eastAsia="仿宋" w:cs="仿宋"/>
          <w:sz w:val="60"/>
          <w:szCs w:val="60"/>
          <w:lang w:val="en-US" w:eastAsia="zh-CN"/>
        </w:rPr>
        <w:t>2023</w:t>
      </w:r>
      <w:r>
        <w:rPr>
          <w:rFonts w:hint="eastAsia" w:ascii="仿宋" w:hAnsi="仿宋" w:eastAsia="仿宋" w:cs="仿宋"/>
          <w:sz w:val="60"/>
          <w:szCs w:val="60"/>
        </w:rPr>
        <w:t>年度</w:t>
      </w:r>
      <w:r>
        <w:rPr>
          <w:rFonts w:hint="eastAsia" w:ascii="仿宋" w:hAnsi="仿宋" w:eastAsia="仿宋" w:cs="仿宋"/>
          <w:sz w:val="60"/>
          <w:szCs w:val="60"/>
          <w:lang w:val="en-US" w:eastAsia="zh-CN"/>
        </w:rPr>
        <w:t>沅江市市场服务中心</w:t>
      </w:r>
      <w:r>
        <w:rPr>
          <w:rFonts w:hint="eastAsia" w:ascii="仿宋" w:hAnsi="仿宋" w:eastAsia="仿宋" w:cs="仿宋"/>
          <w:sz w:val="60"/>
          <w:szCs w:val="60"/>
        </w:rPr>
        <w:t>整体支出绩效自评报告</w:t>
      </w:r>
    </w:p>
    <w:p>
      <w:pPr>
        <w:jc w:val="left"/>
        <w:rPr>
          <w:rFonts w:hint="eastAsia" w:ascii="仿宋" w:hAnsi="仿宋" w:eastAsia="仿宋" w:cs="仿宋"/>
          <w:sz w:val="36"/>
          <w:szCs w:val="36"/>
        </w:rPr>
      </w:pPr>
    </w:p>
    <w:p>
      <w:pPr>
        <w:pStyle w:val="2"/>
        <w:rPr>
          <w:rFonts w:hint="eastAsia" w:ascii="仿宋" w:hAnsi="仿宋" w:eastAsia="仿宋" w:cs="仿宋"/>
          <w:sz w:val="36"/>
          <w:szCs w:val="36"/>
        </w:rPr>
      </w:pPr>
    </w:p>
    <w:p>
      <w:pPr>
        <w:pStyle w:val="5"/>
        <w:ind w:left="2240"/>
        <w:rPr>
          <w:rFonts w:hint="eastAsia" w:ascii="仿宋" w:hAnsi="仿宋" w:eastAsia="仿宋" w:cs="仿宋"/>
        </w:rPr>
      </w:pPr>
    </w:p>
    <w:p>
      <w:pPr>
        <w:jc w:val="center"/>
        <w:rPr>
          <w:rFonts w:hint="eastAsia" w:ascii="仿宋" w:hAnsi="仿宋" w:eastAsia="仿宋" w:cs="仿宋"/>
          <w:sz w:val="36"/>
          <w:szCs w:val="36"/>
          <w:lang w:eastAsia="zh-CN"/>
        </w:rPr>
      </w:pPr>
      <w:r>
        <w:rPr>
          <w:rFonts w:hint="eastAsia" w:ascii="仿宋" w:hAnsi="仿宋" w:eastAsia="仿宋" w:cs="仿宋"/>
          <w:sz w:val="36"/>
          <w:szCs w:val="36"/>
        </w:rPr>
        <w:t>单位名称：</w:t>
      </w:r>
      <w:r>
        <w:rPr>
          <w:rFonts w:hint="eastAsia" w:ascii="仿宋" w:hAnsi="仿宋" w:eastAsia="仿宋" w:cs="仿宋"/>
          <w:sz w:val="36"/>
          <w:szCs w:val="36"/>
          <w:lang w:eastAsia="zh-CN"/>
        </w:rPr>
        <w:t>沅江市市场服务中心</w:t>
      </w:r>
    </w:p>
    <w:p>
      <w:pPr>
        <w:spacing w:line="800" w:lineRule="exact"/>
        <w:jc w:val="both"/>
        <w:rPr>
          <w:rFonts w:hint="eastAsia" w:ascii="仿宋" w:hAnsi="仿宋" w:eastAsia="仿宋" w:cs="仿宋"/>
          <w:sz w:val="36"/>
          <w:szCs w:val="36"/>
        </w:rPr>
      </w:pPr>
    </w:p>
    <w:p>
      <w:pPr>
        <w:spacing w:line="800" w:lineRule="exact"/>
        <w:jc w:val="both"/>
        <w:rPr>
          <w:rFonts w:hint="eastAsia" w:ascii="仿宋" w:hAnsi="仿宋" w:eastAsia="仿宋" w:cs="仿宋"/>
          <w:sz w:val="36"/>
          <w:szCs w:val="36"/>
        </w:rPr>
      </w:pPr>
    </w:p>
    <w:p>
      <w:pPr>
        <w:spacing w:line="800" w:lineRule="exact"/>
        <w:ind w:firstLine="1080" w:firstLineChars="300"/>
        <w:jc w:val="both"/>
        <w:rPr>
          <w:rFonts w:hint="eastAsia" w:ascii="仿宋" w:hAnsi="仿宋" w:eastAsia="仿宋" w:cs="仿宋"/>
          <w:sz w:val="36"/>
          <w:szCs w:val="36"/>
        </w:rPr>
      </w:pPr>
      <w:r>
        <w:rPr>
          <w:rFonts w:hint="eastAsia" w:ascii="仿宋" w:hAnsi="仿宋" w:eastAsia="仿宋" w:cs="仿宋"/>
          <w:sz w:val="36"/>
          <w:szCs w:val="36"/>
        </w:rPr>
        <w:t xml:space="preserve">报告日期：    </w:t>
      </w:r>
      <w:r>
        <w:rPr>
          <w:rFonts w:hint="eastAsia" w:ascii="仿宋" w:hAnsi="仿宋" w:eastAsia="仿宋" w:cs="仿宋"/>
          <w:sz w:val="36"/>
          <w:szCs w:val="36"/>
          <w:lang w:val="en-US" w:eastAsia="zh-CN"/>
        </w:rPr>
        <w:t>2024</w:t>
      </w:r>
      <w:r>
        <w:rPr>
          <w:rFonts w:hint="eastAsia" w:ascii="仿宋" w:hAnsi="仿宋" w:eastAsia="仿宋" w:cs="仿宋"/>
          <w:sz w:val="36"/>
          <w:szCs w:val="36"/>
        </w:rPr>
        <w:t xml:space="preserve">年   </w:t>
      </w:r>
      <w:r>
        <w:rPr>
          <w:rFonts w:hint="eastAsia" w:ascii="仿宋" w:hAnsi="仿宋" w:eastAsia="仿宋" w:cs="仿宋"/>
          <w:sz w:val="36"/>
          <w:szCs w:val="36"/>
          <w:lang w:val="en-US" w:eastAsia="zh-CN"/>
        </w:rPr>
        <w:t>5</w:t>
      </w:r>
      <w:r>
        <w:rPr>
          <w:rFonts w:hint="eastAsia" w:ascii="仿宋" w:hAnsi="仿宋" w:eastAsia="仿宋" w:cs="仿宋"/>
          <w:sz w:val="36"/>
          <w:szCs w:val="36"/>
        </w:rPr>
        <w:t xml:space="preserve"> 月  </w:t>
      </w:r>
      <w:r>
        <w:rPr>
          <w:rFonts w:hint="eastAsia" w:ascii="仿宋" w:hAnsi="仿宋" w:eastAsia="仿宋" w:cs="仿宋"/>
          <w:sz w:val="36"/>
          <w:szCs w:val="36"/>
          <w:lang w:val="en-US" w:eastAsia="zh-CN"/>
        </w:rPr>
        <w:t>21</w:t>
      </w:r>
      <w:r>
        <w:rPr>
          <w:rFonts w:hint="eastAsia" w:ascii="仿宋" w:hAnsi="仿宋" w:eastAsia="仿宋" w:cs="仿宋"/>
          <w:sz w:val="36"/>
          <w:szCs w:val="36"/>
        </w:rPr>
        <w:t xml:space="preserve">  日</w:t>
      </w:r>
    </w:p>
    <w:p>
      <w:pPr>
        <w:spacing w:line="800" w:lineRule="exact"/>
        <w:jc w:val="center"/>
        <w:rPr>
          <w:rFonts w:hint="eastAsia" w:ascii="仿宋" w:hAnsi="仿宋" w:eastAsia="仿宋" w:cs="仿宋"/>
          <w:sz w:val="36"/>
          <w:szCs w:val="36"/>
        </w:rPr>
      </w:pPr>
    </w:p>
    <w:p>
      <w:pPr>
        <w:pStyle w:val="2"/>
        <w:rPr>
          <w:rFonts w:hint="eastAsia" w:ascii="仿宋" w:hAnsi="仿宋" w:eastAsia="仿宋" w:cs="仿宋"/>
          <w:sz w:val="36"/>
          <w:szCs w:val="36"/>
        </w:rPr>
      </w:pPr>
    </w:p>
    <w:p>
      <w:pPr>
        <w:pStyle w:val="5"/>
        <w:ind w:left="2240"/>
        <w:rPr>
          <w:rFonts w:hint="eastAsia" w:ascii="仿宋" w:hAnsi="仿宋" w:eastAsia="仿宋" w:cs="仿宋"/>
          <w:sz w:val="36"/>
          <w:szCs w:val="36"/>
        </w:rPr>
      </w:pPr>
    </w:p>
    <w:p>
      <w:pPr>
        <w:spacing w:line="360" w:lineRule="auto"/>
        <w:rPr>
          <w:rFonts w:hint="eastAsia" w:ascii="仿宋" w:hAnsi="仿宋" w:eastAsia="仿宋" w:cs="仿宋"/>
        </w:rPr>
      </w:pPr>
      <w:r>
        <w:rPr>
          <w:rFonts w:hint="eastAsia" w:ascii="仿宋" w:hAnsi="仿宋" w:eastAsia="仿宋" w:cs="仿宋"/>
        </w:rPr>
        <w:br w:type="page"/>
      </w:r>
    </w:p>
    <w:p>
      <w:pPr>
        <w:pStyle w:val="9"/>
        <w:widowControl/>
        <w:numPr>
          <w:ilvl w:val="0"/>
          <w:numId w:val="0"/>
        </w:numPr>
        <w:spacing w:line="540" w:lineRule="exact"/>
        <w:ind w:left="1360" w:leftChars="0" w:hanging="720" w:firstLineChars="0"/>
        <w:rPr>
          <w:rFonts w:hint="eastAsia" w:ascii="仿宋" w:hAnsi="仿宋" w:eastAsia="仿宋" w:cs="仿宋"/>
          <w:sz w:val="32"/>
          <w:szCs w:val="32"/>
        </w:rPr>
      </w:pPr>
      <w:r>
        <w:rPr>
          <w:rFonts w:hint="eastAsia" w:ascii="仿宋" w:hAnsi="仿宋" w:eastAsia="仿宋" w:cs="仿宋"/>
          <w:kern w:val="2"/>
          <w:sz w:val="32"/>
          <w:szCs w:val="32"/>
          <w:lang w:val="en-US" w:eastAsia="zh-CN" w:bidi="ar-SA"/>
        </w:rPr>
        <w:t>一、</w:t>
      </w:r>
      <w:r>
        <w:rPr>
          <w:rFonts w:hint="eastAsia" w:ascii="仿宋" w:hAnsi="仿宋" w:eastAsia="仿宋" w:cs="仿宋"/>
          <w:sz w:val="32"/>
          <w:szCs w:val="32"/>
        </w:rPr>
        <w:t>部门基本情况</w:t>
      </w:r>
    </w:p>
    <w:p>
      <w:pPr>
        <w:widowControl/>
        <w:numPr>
          <w:ilvl w:val="0"/>
          <w:numId w:val="0"/>
        </w:numPr>
        <w:snapToGrid w:val="0"/>
        <w:spacing w:line="54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SA"/>
        </w:rPr>
        <w:t>（一）</w:t>
      </w:r>
      <w:r>
        <w:rPr>
          <w:rFonts w:hint="eastAsia" w:ascii="仿宋" w:hAnsi="仿宋" w:eastAsia="仿宋" w:cs="仿宋"/>
          <w:color w:val="000000"/>
          <w:sz w:val="32"/>
          <w:szCs w:val="32"/>
        </w:rPr>
        <w:t>部门（单位）基本情况。</w:t>
      </w:r>
    </w:p>
    <w:p>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1．主要职能。</w:t>
      </w:r>
      <w:r>
        <w:rPr>
          <w:rFonts w:hint="eastAsia" w:ascii="仿宋" w:hAnsi="仿宋" w:eastAsia="仿宋" w:cs="仿宋"/>
          <w:sz w:val="32"/>
          <w:szCs w:val="24"/>
          <w:lang w:val="en-US" w:eastAsia="zh-CN"/>
        </w:rPr>
        <w:t>本单位贯彻中央、省、市关于市场规划建设和管理的法律法规，执行本市市场计划建设和管理的规章制度；负责市场信息统计工作；经营管理自建市场和新建市场的资产，负责市场设施的维修和改造，为市场业主提供各种服务设施和服务项目，收取市场交易服务费；负责搞好市场消防、安全、卫生、秩序及其他经营性事务工作。</w:t>
      </w:r>
    </w:p>
    <w:p>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2．机构情况</w:t>
      </w:r>
      <w:r>
        <w:rPr>
          <w:rFonts w:hint="eastAsia" w:ascii="仿宋" w:hAnsi="仿宋" w:eastAsia="仿宋" w:cs="仿宋"/>
          <w:sz w:val="32"/>
          <w:szCs w:val="32"/>
          <w:lang w:eastAsia="zh-CN"/>
        </w:rPr>
        <w:t>。</w:t>
      </w:r>
      <w:r>
        <w:rPr>
          <w:rFonts w:hint="eastAsia" w:ascii="仿宋" w:hAnsi="仿宋" w:eastAsia="仿宋" w:cs="仿宋"/>
          <w:sz w:val="32"/>
          <w:szCs w:val="24"/>
          <w:lang w:val="en-US" w:eastAsia="zh-CN"/>
        </w:rPr>
        <w:t>2023年本单位从预算单位构成看，沅江市市场服务中心部门决算为二级预算单位，部门决算报表单独公开，没有下属单位。</w:t>
      </w:r>
    </w:p>
    <w:p>
      <w:pPr>
        <w:snapToGrid w:val="0"/>
        <w:spacing w:line="520" w:lineRule="exact"/>
        <w:ind w:firstLine="640" w:firstLineChars="200"/>
        <w:rPr>
          <w:rFonts w:hint="default" w:ascii="仿宋" w:hAnsi="仿宋" w:eastAsia="仿宋" w:cs="仿宋"/>
          <w:sz w:val="32"/>
          <w:szCs w:val="32"/>
          <w:lang w:val="en-US"/>
        </w:rPr>
      </w:pPr>
      <w:r>
        <w:rPr>
          <w:rFonts w:hint="eastAsia" w:ascii="仿宋" w:hAnsi="仿宋" w:eastAsia="仿宋" w:cs="仿宋"/>
          <w:sz w:val="32"/>
          <w:szCs w:val="32"/>
        </w:rPr>
        <w:t>3．人员情况</w:t>
      </w:r>
      <w:r>
        <w:rPr>
          <w:rFonts w:hint="eastAsia" w:ascii="仿宋" w:hAnsi="仿宋" w:eastAsia="仿宋" w:cs="仿宋"/>
          <w:sz w:val="32"/>
          <w:szCs w:val="24"/>
          <w:lang w:val="en-US" w:eastAsia="zh-CN"/>
        </w:rPr>
        <w:t>。2023年本单位年未在职在编人数69人，退休36人.</w:t>
      </w:r>
    </w:p>
    <w:p>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（二）部门（单位）整体支出规模、使用方向和主要内容、涉及范围等。</w:t>
      </w:r>
    </w:p>
    <w:p>
      <w:pPr>
        <w:widowControl/>
        <w:numPr>
          <w:ilvl w:val="0"/>
          <w:numId w:val="0"/>
        </w:numPr>
        <w:snapToGrid w:val="0"/>
        <w:spacing w:line="540" w:lineRule="exac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我单位2023年度整体支出规模为：813.16万元，其中基本支出：794.41万元，项目支出18.75万元。</w:t>
      </w:r>
    </w:p>
    <w:p>
      <w:pPr>
        <w:widowControl/>
        <w:numPr>
          <w:ilvl w:val="0"/>
          <w:numId w:val="0"/>
        </w:numPr>
        <w:snapToGrid w:val="0"/>
        <w:spacing w:line="540" w:lineRule="exac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主要用于：</w:t>
      </w:r>
    </w:p>
    <w:p>
      <w:pPr>
        <w:widowControl/>
        <w:numPr>
          <w:ilvl w:val="0"/>
          <w:numId w:val="0"/>
        </w:numPr>
        <w:snapToGrid w:val="0"/>
        <w:spacing w:line="540" w:lineRule="exac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1.服务管理全市市场。</w:t>
      </w:r>
    </w:p>
    <w:p>
      <w:pPr>
        <w:widowControl/>
        <w:numPr>
          <w:ilvl w:val="0"/>
          <w:numId w:val="0"/>
        </w:numPr>
        <w:snapToGrid w:val="0"/>
        <w:spacing w:line="540" w:lineRule="exac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2.按时收取市场交易服务费。</w:t>
      </w:r>
    </w:p>
    <w:p>
      <w:pPr>
        <w:widowControl/>
        <w:numPr>
          <w:ilvl w:val="0"/>
          <w:numId w:val="0"/>
        </w:numPr>
        <w:snapToGrid w:val="0"/>
        <w:spacing w:line="540" w:lineRule="exac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3.按计划对市场进行整治及维护，保持良好的市场秩序。</w:t>
      </w:r>
    </w:p>
    <w:p>
      <w:pPr>
        <w:pStyle w:val="9"/>
        <w:widowControl/>
        <w:numPr>
          <w:ilvl w:val="0"/>
          <w:numId w:val="0"/>
        </w:numPr>
        <w:spacing w:line="540" w:lineRule="exact"/>
        <w:ind w:left="1360" w:leftChars="0" w:hanging="720" w:firstLineChars="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涉及范围：</w:t>
      </w:r>
    </w:p>
    <w:p>
      <w:pPr>
        <w:widowControl/>
        <w:numPr>
          <w:ilvl w:val="0"/>
          <w:numId w:val="0"/>
        </w:numPr>
        <w:snapToGrid w:val="0"/>
        <w:spacing w:line="540" w:lineRule="exac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2023年部门整体支出涉及范围包括工资福利支出、商品和服务支出、对个人和家庭的补助支出、资本性支出及其他支出。</w:t>
      </w:r>
    </w:p>
    <w:p>
      <w:pPr>
        <w:pStyle w:val="9"/>
        <w:widowControl/>
        <w:numPr>
          <w:ilvl w:val="0"/>
          <w:numId w:val="0"/>
        </w:numPr>
        <w:spacing w:line="540" w:lineRule="exact"/>
        <w:ind w:left="1360" w:leftChars="0" w:hanging="720" w:firstLineChars="0"/>
        <w:rPr>
          <w:rFonts w:hint="eastAsia" w:ascii="仿宋" w:hAnsi="仿宋" w:eastAsia="仿宋" w:cs="仿宋"/>
          <w:sz w:val="32"/>
          <w:szCs w:val="32"/>
        </w:rPr>
      </w:pPr>
      <w:r>
        <w:rPr>
          <w:rFonts w:hint="eastAsia" w:ascii="仿宋" w:hAnsi="仿宋" w:eastAsia="仿宋" w:cs="仿宋"/>
          <w:kern w:val="2"/>
          <w:sz w:val="32"/>
          <w:szCs w:val="32"/>
          <w:lang w:val="en-US" w:eastAsia="zh-CN" w:bidi="ar-SA"/>
        </w:rPr>
        <w:t>三、</w:t>
      </w:r>
      <w:r>
        <w:rPr>
          <w:rFonts w:hint="eastAsia" w:ascii="仿宋" w:hAnsi="仿宋" w:eastAsia="仿宋" w:cs="仿宋"/>
          <w:sz w:val="32"/>
          <w:szCs w:val="32"/>
        </w:rPr>
        <w:t>一般公共预算支出情况</w:t>
      </w:r>
    </w:p>
    <w:p>
      <w:pPr>
        <w:widowControl/>
        <w:numPr>
          <w:ilvl w:val="0"/>
          <w:numId w:val="0"/>
        </w:numPr>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2"/>
          <w:sz w:val="32"/>
          <w:szCs w:val="32"/>
          <w:lang w:val="en-US" w:eastAsia="zh-CN" w:bidi="ar-SA"/>
        </w:rPr>
        <w:t>（一）</w:t>
      </w:r>
      <w:r>
        <w:rPr>
          <w:rFonts w:hint="eastAsia" w:ascii="仿宋" w:hAnsi="仿宋" w:eastAsia="仿宋" w:cs="仿宋"/>
          <w:color w:val="000000"/>
          <w:sz w:val="32"/>
          <w:szCs w:val="32"/>
        </w:rPr>
        <w:t>基本支出。</w:t>
      </w:r>
    </w:p>
    <w:p>
      <w:pPr>
        <w:widowControl/>
        <w:numPr>
          <w:ilvl w:val="0"/>
          <w:numId w:val="0"/>
        </w:numPr>
        <w:snapToGrid w:val="0"/>
        <w:spacing w:line="54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我单位基本支出：794.41万元，其中。</w:t>
      </w:r>
    </w:p>
    <w:p>
      <w:pPr>
        <w:widowControl/>
        <w:numPr>
          <w:ilvl w:val="0"/>
          <w:numId w:val="0"/>
        </w:numPr>
        <w:snapToGrid w:val="0"/>
        <w:spacing w:line="54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 工资福利支出738.67万元，包括基本工资、绩效工资、津补贴489.51万元，奖金88.04万元，伙食补助费0万元，基本养老保险缴费66.70万元，基本医疗保险缴费22.67万元，住房公积金61.99万元，医疗费0万元，其他工资福利支出0万元。</w:t>
      </w:r>
    </w:p>
    <w:p>
      <w:pPr>
        <w:widowControl/>
        <w:numPr>
          <w:ilvl w:val="0"/>
          <w:numId w:val="0"/>
        </w:numPr>
        <w:snapToGrid w:val="0"/>
        <w:spacing w:line="54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 商品服务支出36.86万元，包括办公费5.36万元、印刷费0万元、咨询费2.75万元、水电费8.75万元、邮电费0万元、物业管理费0万元、差旅费0万元、维修费0万元、会议费0万元、培训费4.00万元、公务接待费0万元、劳务费0万元、工会经费7.00万元、福利费9.00万元、公务用车维护费0万元、其他交通费用0万元、其他商品和服务支出0万元。</w:t>
      </w:r>
    </w:p>
    <w:p>
      <w:pPr>
        <w:widowControl/>
        <w:numPr>
          <w:ilvl w:val="0"/>
          <w:numId w:val="0"/>
        </w:numPr>
        <w:snapToGrid w:val="0"/>
        <w:spacing w:line="54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 对个人和家庭的补助支出18.89万元，包括离休费0万元、抚恤金6.24万元、医疗补助金7.25万元、其他对个人和家庭的补助支出5.4万元。</w:t>
      </w:r>
    </w:p>
    <w:p>
      <w:pPr>
        <w:widowControl/>
        <w:numPr>
          <w:ilvl w:val="0"/>
          <w:numId w:val="0"/>
        </w:numPr>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kern w:val="2"/>
          <w:sz w:val="32"/>
          <w:szCs w:val="32"/>
          <w:lang w:val="en-US" w:eastAsia="zh-CN" w:bidi="ar-SA"/>
        </w:rPr>
        <w:t>（二）</w:t>
      </w:r>
      <w:r>
        <w:rPr>
          <w:rFonts w:hint="eastAsia" w:ascii="仿宋" w:hAnsi="仿宋" w:eastAsia="仿宋" w:cs="仿宋"/>
          <w:color w:val="000000"/>
          <w:sz w:val="32"/>
          <w:szCs w:val="32"/>
        </w:rPr>
        <w:t>项目支出。</w:t>
      </w:r>
    </w:p>
    <w:p>
      <w:pPr>
        <w:widowControl/>
        <w:numPr>
          <w:ilvl w:val="0"/>
          <w:numId w:val="0"/>
        </w:numPr>
        <w:snapToGrid w:val="0"/>
        <w:spacing w:line="540" w:lineRule="exact"/>
        <w:ind w:firstLine="640" w:firstLineChars="200"/>
        <w:jc w:val="both"/>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2023年度，我单位有</w:t>
      </w:r>
      <w:r>
        <w:rPr>
          <w:rFonts w:hint="eastAsia" w:ascii="仿宋" w:hAnsi="仿宋" w:eastAsia="仿宋" w:cs="仿宋"/>
          <w:color w:val="000000"/>
          <w:sz w:val="32"/>
          <w:szCs w:val="32"/>
        </w:rPr>
        <w:t>市场整治专项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实际资金支出：18.75万元，资金全部由沅江市财政拨款。</w:t>
      </w:r>
    </w:p>
    <w:p>
      <w:pPr>
        <w:widowControl/>
        <w:numPr>
          <w:ilvl w:val="0"/>
          <w:numId w:val="0"/>
        </w:numPr>
        <w:snapToGrid w:val="0"/>
        <w:spacing w:line="54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其中：其他商品服务支出：12.50万元；其他对个人和家庭的补助：6.25万元。</w:t>
      </w:r>
    </w:p>
    <w:p>
      <w:pPr>
        <w:widowControl/>
        <w:numPr>
          <w:ilvl w:val="0"/>
          <w:numId w:val="0"/>
        </w:numPr>
        <w:snapToGrid w:val="0"/>
        <w:spacing w:line="54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我中心严格按照财政局规定，实行专款专用，全部项目资金用于项目相关经济内容的支出，加强对资金使用情况的管理和检查，杜绝挤占、截留、挪用现象发生，提高资金使用效益。</w:t>
      </w:r>
    </w:p>
    <w:p>
      <w:pPr>
        <w:pStyle w:val="4"/>
        <w:numPr>
          <w:ilvl w:val="0"/>
          <w:numId w:val="0"/>
        </w:numPr>
        <w:ind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主要用于以下几个方面：</w:t>
      </w:r>
    </w:p>
    <w:p>
      <w:pPr>
        <w:widowControl/>
        <w:numPr>
          <w:ilvl w:val="0"/>
          <w:numId w:val="0"/>
        </w:numPr>
        <w:snapToGrid w:val="0"/>
        <w:spacing w:line="540" w:lineRule="exact"/>
        <w:ind w:firstLine="640" w:firstLineChars="200"/>
        <w:jc w:val="both"/>
        <w:rPr>
          <w:rFonts w:hint="default" w:ascii="仿宋" w:hAnsi="仿宋" w:eastAsia="仿宋" w:cs="仿宋"/>
          <w:color w:val="000000"/>
          <w:sz w:val="32"/>
          <w:szCs w:val="32"/>
          <w:lang w:val="en-US" w:eastAsia="zh-CN"/>
        </w:rPr>
      </w:pPr>
      <w:r>
        <w:rPr>
          <w:rFonts w:hint="default" w:ascii="仿宋" w:hAnsi="仿宋" w:eastAsia="仿宋" w:cs="仿宋"/>
          <w:color w:val="000000"/>
          <w:sz w:val="32"/>
          <w:szCs w:val="32"/>
          <w:lang w:val="en-US" w:eastAsia="zh-CN"/>
        </w:rPr>
        <w:t>1、</w:t>
      </w:r>
      <w:r>
        <w:rPr>
          <w:rFonts w:hint="eastAsia" w:ascii="仿宋" w:hAnsi="仿宋" w:eastAsia="仿宋" w:cs="仿宋"/>
          <w:color w:val="000000"/>
          <w:sz w:val="32"/>
          <w:szCs w:val="32"/>
          <w:lang w:val="en-US" w:eastAsia="zh-CN"/>
        </w:rPr>
        <w:t>市场整治广告费支出</w:t>
      </w:r>
    </w:p>
    <w:p>
      <w:pPr>
        <w:widowControl/>
        <w:numPr>
          <w:ilvl w:val="0"/>
          <w:numId w:val="0"/>
        </w:numPr>
        <w:snapToGrid w:val="0"/>
        <w:spacing w:line="540" w:lineRule="exact"/>
        <w:ind w:firstLine="640" w:firstLineChars="200"/>
        <w:jc w:val="both"/>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投放整治广告，优化营商环境。我中心在西区农贸市场、港口市场、水产市场、草尾农贸市场、南大农贸市场5个市场投放整治广告，着力营造对业主贴心、让市民放心的市场环境。</w:t>
      </w:r>
    </w:p>
    <w:p>
      <w:pPr>
        <w:widowControl/>
        <w:numPr>
          <w:ilvl w:val="0"/>
          <w:numId w:val="0"/>
        </w:numPr>
        <w:snapToGrid w:val="0"/>
        <w:spacing w:line="540" w:lineRule="exact"/>
        <w:ind w:firstLine="640" w:firstLineChars="200"/>
        <w:jc w:val="both"/>
        <w:rPr>
          <w:rFonts w:hint="default" w:ascii="仿宋" w:hAnsi="仿宋" w:eastAsia="仿宋" w:cs="仿宋"/>
          <w:color w:val="000000"/>
          <w:sz w:val="32"/>
          <w:szCs w:val="32"/>
          <w:lang w:val="en-US" w:eastAsia="zh-CN"/>
        </w:rPr>
      </w:pPr>
      <w:r>
        <w:rPr>
          <w:rFonts w:hint="default" w:ascii="仿宋" w:hAnsi="仿宋" w:eastAsia="仿宋" w:cs="仿宋"/>
          <w:color w:val="000000"/>
          <w:sz w:val="32"/>
          <w:szCs w:val="32"/>
          <w:lang w:val="en-US" w:eastAsia="zh-CN"/>
        </w:rPr>
        <w:t>2、</w:t>
      </w:r>
      <w:r>
        <w:rPr>
          <w:rFonts w:hint="eastAsia" w:ascii="仿宋" w:hAnsi="仿宋" w:eastAsia="仿宋" w:cs="仿宋"/>
          <w:color w:val="000000"/>
          <w:sz w:val="32"/>
          <w:szCs w:val="32"/>
          <w:lang w:val="en-US" w:eastAsia="zh-CN"/>
        </w:rPr>
        <w:t>市场整治房屋维修费支出</w:t>
      </w:r>
    </w:p>
    <w:p>
      <w:pPr>
        <w:widowControl/>
        <w:numPr>
          <w:ilvl w:val="0"/>
          <w:numId w:val="0"/>
        </w:numPr>
        <w:snapToGrid w:val="0"/>
        <w:spacing w:line="540" w:lineRule="exact"/>
        <w:ind w:firstLine="640" w:firstLineChars="200"/>
        <w:jc w:val="both"/>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定期修缮房屋，排查安全隐患。对管辖内西区农贸市场及草尾农贸市场房屋进行了检查修缮，确保市场正常运行，确保了市场内的经营业主及市民人身安全。</w:t>
      </w:r>
    </w:p>
    <w:p>
      <w:pPr>
        <w:widowControl/>
        <w:numPr>
          <w:ilvl w:val="0"/>
          <w:numId w:val="0"/>
        </w:numPr>
        <w:snapToGrid w:val="0"/>
        <w:spacing w:line="540" w:lineRule="exact"/>
        <w:ind w:firstLine="640" w:firstLineChars="200"/>
        <w:jc w:val="both"/>
        <w:rPr>
          <w:rFonts w:hint="default" w:ascii="仿宋" w:hAnsi="仿宋" w:eastAsia="仿宋" w:cs="仿宋"/>
          <w:color w:val="000000"/>
          <w:sz w:val="32"/>
          <w:szCs w:val="32"/>
          <w:lang w:val="en-US" w:eastAsia="zh-CN"/>
        </w:rPr>
      </w:pPr>
      <w:r>
        <w:rPr>
          <w:rFonts w:hint="default" w:ascii="仿宋" w:hAnsi="仿宋" w:eastAsia="仿宋" w:cs="仿宋"/>
          <w:color w:val="000000"/>
          <w:sz w:val="32"/>
          <w:szCs w:val="32"/>
          <w:lang w:val="en-US" w:eastAsia="zh-CN"/>
        </w:rPr>
        <w:t>3、</w:t>
      </w:r>
      <w:r>
        <w:rPr>
          <w:rFonts w:hint="eastAsia" w:ascii="仿宋" w:hAnsi="仿宋" w:eastAsia="仿宋" w:cs="仿宋"/>
          <w:color w:val="000000"/>
          <w:sz w:val="32"/>
          <w:szCs w:val="32"/>
          <w:lang w:val="en-US" w:eastAsia="zh-CN"/>
        </w:rPr>
        <w:t>市场整治环境费支出</w:t>
      </w:r>
    </w:p>
    <w:p>
      <w:pPr>
        <w:widowControl/>
        <w:numPr>
          <w:ilvl w:val="0"/>
          <w:numId w:val="0"/>
        </w:numPr>
        <w:snapToGrid w:val="0"/>
        <w:spacing w:line="540" w:lineRule="exact"/>
        <w:ind w:firstLine="640" w:firstLineChars="200"/>
        <w:jc w:val="both"/>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稳增资金投入，强化日常保洁工作。聘请了2名市场保洁员，对市场营业区域不定期消杀，保持垃圾不落地，日产日清，每天清洗地面，保洁工作已经常态化。</w:t>
      </w:r>
    </w:p>
    <w:p>
      <w:pPr>
        <w:pStyle w:val="9"/>
        <w:widowControl/>
        <w:numPr>
          <w:ilvl w:val="0"/>
          <w:numId w:val="0"/>
        </w:numPr>
        <w:spacing w:line="540" w:lineRule="exact"/>
        <w:ind w:left="1360" w:leftChars="0" w:hanging="720" w:firstLineChars="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SA"/>
        </w:rPr>
        <w:t>四、</w:t>
      </w:r>
      <w:r>
        <w:rPr>
          <w:rFonts w:hint="eastAsia" w:ascii="仿宋" w:hAnsi="仿宋" w:eastAsia="仿宋" w:cs="仿宋"/>
          <w:bCs/>
          <w:sz w:val="32"/>
          <w:szCs w:val="32"/>
        </w:rPr>
        <w:t>项目组织实施情况</w:t>
      </w:r>
    </w:p>
    <w:p>
      <w:pPr>
        <w:widowControl/>
        <w:numPr>
          <w:ilvl w:val="0"/>
          <w:numId w:val="0"/>
        </w:numPr>
        <w:snapToGrid w:val="0"/>
        <w:spacing w:line="540" w:lineRule="exact"/>
        <w:ind w:firstLine="640" w:firstLineChars="20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SA"/>
        </w:rPr>
        <w:t>（一）</w:t>
      </w:r>
      <w:r>
        <w:rPr>
          <w:rFonts w:hint="eastAsia" w:ascii="仿宋" w:hAnsi="仿宋" w:eastAsia="仿宋" w:cs="仿宋"/>
          <w:sz w:val="32"/>
          <w:szCs w:val="32"/>
        </w:rPr>
        <w:t>项目组织情况分析，主要包括项目招投标、调整、竣工验收等情况。</w:t>
      </w:r>
    </w:p>
    <w:p>
      <w:pPr>
        <w:widowControl/>
        <w:numPr>
          <w:ilvl w:val="0"/>
          <w:numId w:val="0"/>
        </w:numPr>
        <w:snapToGrid w:val="0"/>
        <w:spacing w:line="54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我中心项目支出严格执行预算管理和政府采购制度。按照市政府最新集中采购目录及政府采购限额标准，按照政府采购的要求和程序，依法实行政府采购；集中采购目录及政府采购限额标准以外的采购通过《沅江市市场服务中心招标采购工作实施细则》予以规范；依据政府采购法进行招投标，按政府采购的规定及相关程序要求对项目进行验收。对需要进行财政评审的项目，及时报送财评进行招标控制价的评审以及结算评审。</w:t>
      </w:r>
    </w:p>
    <w:p>
      <w:pPr>
        <w:widowControl/>
        <w:numPr>
          <w:ilvl w:val="0"/>
          <w:numId w:val="0"/>
        </w:numPr>
        <w:snapToGrid w:val="0"/>
        <w:spacing w:line="540" w:lineRule="exact"/>
        <w:ind w:firstLine="640" w:firstLineChars="20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SA"/>
        </w:rPr>
        <w:t>（二）</w:t>
      </w:r>
      <w:r>
        <w:rPr>
          <w:rFonts w:hint="eastAsia" w:ascii="仿宋" w:hAnsi="仿宋" w:eastAsia="仿宋" w:cs="仿宋"/>
          <w:sz w:val="32"/>
          <w:szCs w:val="32"/>
        </w:rPr>
        <w:t>项目管理情况分析，主要包括项目管理制度建设、日常检查监督管理等情况。</w:t>
      </w:r>
    </w:p>
    <w:p>
      <w:pPr>
        <w:widowControl/>
        <w:numPr>
          <w:ilvl w:val="0"/>
          <w:numId w:val="0"/>
        </w:numPr>
        <w:snapToGrid w:val="0"/>
        <w:spacing w:line="54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我中心结合单位实际，修订完善了《财务管理制度》、《财务公开制度》、《“三重一大”集体决策制度》、《固定资产管理制度》等，牢固树立“先预算，后支出”、“无预算、不支出”的观念，项目支出严格纳入经费预算，统筹安排使用专项资金，专项资金的分配、使用和管理遵循综合预算、公平公正、分类管理、绩效考评的原则，监督用款股室按照资金用途专款专用，根据批复的预算严格控制各项支出，没有纳入预算的项目不能支出，严格按照制度执行，确保资金运转规范有序。</w:t>
      </w:r>
    </w:p>
    <w:p>
      <w:pPr>
        <w:pStyle w:val="9"/>
        <w:widowControl/>
        <w:numPr>
          <w:ilvl w:val="0"/>
          <w:numId w:val="0"/>
        </w:numPr>
        <w:spacing w:line="540" w:lineRule="exact"/>
        <w:ind w:left="1360" w:leftChars="0" w:hanging="720" w:firstLineChars="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SA"/>
        </w:rPr>
        <w:t>五、</w:t>
      </w:r>
      <w:r>
        <w:rPr>
          <w:rFonts w:hint="eastAsia" w:ascii="仿宋" w:hAnsi="仿宋" w:eastAsia="仿宋" w:cs="仿宋"/>
          <w:sz w:val="32"/>
          <w:szCs w:val="32"/>
        </w:rPr>
        <w:t>资产管理情况</w:t>
      </w:r>
    </w:p>
    <w:p>
      <w:pPr>
        <w:widowControl/>
        <w:numPr>
          <w:ilvl w:val="0"/>
          <w:numId w:val="0"/>
        </w:numPr>
        <w:snapToGrid w:val="0"/>
        <w:spacing w:line="54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建立了固定资产台帐，指定专人管理，及时登记，科学使用，实现了“一物一卡一条码”。固定资产的调出、处置、报废、报损严格执行国家有关规定的审批程序办理。</w:t>
      </w:r>
    </w:p>
    <w:p>
      <w:pPr>
        <w:pStyle w:val="9"/>
        <w:widowControl/>
        <w:numPr>
          <w:ilvl w:val="0"/>
          <w:numId w:val="0"/>
        </w:numPr>
        <w:spacing w:line="540" w:lineRule="exact"/>
        <w:ind w:left="1360" w:leftChars="0" w:hanging="720" w:firstLineChars="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SA"/>
        </w:rPr>
        <w:t>六、</w:t>
      </w:r>
      <w:r>
        <w:rPr>
          <w:rFonts w:hint="eastAsia" w:ascii="仿宋" w:hAnsi="仿宋" w:eastAsia="仿宋" w:cs="仿宋"/>
          <w:sz w:val="32"/>
          <w:szCs w:val="32"/>
        </w:rPr>
        <w:t xml:space="preserve">政府性基金预算支出情况 </w:t>
      </w:r>
    </w:p>
    <w:p>
      <w:pPr>
        <w:widowControl/>
        <w:snapToGrid w:val="0"/>
        <w:spacing w:line="540" w:lineRule="exact"/>
        <w:ind w:firstLine="640" w:firstLineChars="200"/>
        <w:jc w:val="both"/>
        <w:rPr>
          <w:rFonts w:hint="eastAsia" w:ascii="仿宋" w:hAnsi="仿宋" w:eastAsia="仿宋" w:cs="仿宋"/>
          <w:color w:val="FF0000"/>
          <w:kern w:val="2"/>
          <w:sz w:val="32"/>
          <w:szCs w:val="32"/>
          <w:lang w:val="en-US" w:eastAsia="zh-CN" w:bidi="ar-SA"/>
        </w:rPr>
      </w:pPr>
      <w:r>
        <w:rPr>
          <w:rFonts w:hint="eastAsia" w:ascii="仿宋" w:hAnsi="仿宋" w:eastAsia="仿宋" w:cs="仿宋"/>
          <w:sz w:val="32"/>
          <w:szCs w:val="32"/>
          <w:lang w:eastAsia="zh-CN"/>
        </w:rPr>
        <w:t>我</w:t>
      </w:r>
      <w:r>
        <w:rPr>
          <w:rFonts w:hint="eastAsia" w:ascii="仿宋" w:hAnsi="仿宋" w:eastAsia="仿宋" w:cs="仿宋"/>
          <w:sz w:val="32"/>
          <w:szCs w:val="32"/>
          <w:lang w:val="en-US" w:eastAsia="zh-CN"/>
        </w:rPr>
        <w:t>单位无</w:t>
      </w:r>
      <w:r>
        <w:rPr>
          <w:rFonts w:hint="eastAsia" w:ascii="仿宋" w:hAnsi="仿宋" w:eastAsia="仿宋" w:cs="仿宋"/>
          <w:sz w:val="32"/>
          <w:szCs w:val="32"/>
        </w:rPr>
        <w:t>政府性基金预算支出</w:t>
      </w:r>
      <w:r>
        <w:rPr>
          <w:rFonts w:hint="eastAsia" w:ascii="仿宋" w:hAnsi="仿宋" w:eastAsia="仿宋" w:cs="仿宋"/>
          <w:color w:val="FF0000"/>
          <w:sz w:val="32"/>
          <w:szCs w:val="32"/>
        </w:rPr>
        <w:t>。</w:t>
      </w:r>
    </w:p>
    <w:p>
      <w:pPr>
        <w:pStyle w:val="9"/>
        <w:widowControl/>
        <w:numPr>
          <w:ilvl w:val="0"/>
          <w:numId w:val="0"/>
        </w:numPr>
        <w:spacing w:line="540" w:lineRule="exact"/>
        <w:ind w:left="1360" w:leftChars="0" w:hanging="720" w:firstLineChars="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SA"/>
        </w:rPr>
        <w:t>七、</w:t>
      </w:r>
      <w:r>
        <w:rPr>
          <w:rFonts w:hint="eastAsia" w:ascii="仿宋" w:hAnsi="仿宋" w:eastAsia="仿宋" w:cs="仿宋"/>
          <w:sz w:val="32"/>
          <w:szCs w:val="32"/>
        </w:rPr>
        <w:t>国有资本经营预算支出情况</w:t>
      </w:r>
    </w:p>
    <w:p>
      <w:pPr>
        <w:widowControl/>
        <w:snapToGrid w:val="0"/>
        <w:spacing w:line="540" w:lineRule="exact"/>
        <w:ind w:firstLine="640" w:firstLineChars="200"/>
        <w:jc w:val="both"/>
        <w:rPr>
          <w:rFonts w:hint="eastAsia" w:ascii="仿宋" w:hAnsi="仿宋" w:eastAsia="仿宋" w:cs="仿宋"/>
          <w:color w:val="FF0000"/>
          <w:sz w:val="32"/>
          <w:szCs w:val="32"/>
        </w:rPr>
      </w:pPr>
      <w:r>
        <w:rPr>
          <w:rFonts w:hint="eastAsia" w:ascii="仿宋" w:hAnsi="仿宋" w:eastAsia="仿宋" w:cs="仿宋"/>
          <w:sz w:val="32"/>
          <w:szCs w:val="32"/>
          <w:lang w:eastAsia="zh-CN"/>
        </w:rPr>
        <w:t>我</w:t>
      </w:r>
      <w:r>
        <w:rPr>
          <w:rFonts w:hint="eastAsia" w:ascii="仿宋" w:hAnsi="仿宋" w:eastAsia="仿宋" w:cs="仿宋"/>
          <w:sz w:val="32"/>
          <w:szCs w:val="32"/>
          <w:lang w:val="en-US" w:eastAsia="zh-CN"/>
        </w:rPr>
        <w:t>单位无</w:t>
      </w:r>
      <w:r>
        <w:rPr>
          <w:rFonts w:hint="eastAsia" w:ascii="仿宋" w:hAnsi="仿宋" w:eastAsia="仿宋" w:cs="仿宋"/>
          <w:sz w:val="32"/>
          <w:szCs w:val="32"/>
        </w:rPr>
        <w:t>国有资本经营预算支出</w:t>
      </w:r>
      <w:r>
        <w:rPr>
          <w:rFonts w:hint="eastAsia" w:ascii="仿宋" w:hAnsi="仿宋" w:eastAsia="仿宋" w:cs="仿宋"/>
          <w:color w:val="FF0000"/>
          <w:sz w:val="32"/>
          <w:szCs w:val="32"/>
        </w:rPr>
        <w:t>。</w:t>
      </w:r>
    </w:p>
    <w:p>
      <w:pPr>
        <w:pStyle w:val="9"/>
        <w:widowControl/>
        <w:numPr>
          <w:ilvl w:val="0"/>
          <w:numId w:val="0"/>
        </w:numPr>
        <w:spacing w:line="540" w:lineRule="exact"/>
        <w:ind w:left="1360" w:leftChars="0" w:hanging="720" w:firstLineChars="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SA"/>
        </w:rPr>
        <w:t>八、</w:t>
      </w:r>
      <w:r>
        <w:rPr>
          <w:rFonts w:hint="eastAsia" w:ascii="仿宋" w:hAnsi="仿宋" w:eastAsia="仿宋" w:cs="仿宋"/>
          <w:sz w:val="32"/>
          <w:szCs w:val="32"/>
        </w:rPr>
        <w:t>社会保险基金预算支出情况</w:t>
      </w:r>
    </w:p>
    <w:p>
      <w:pPr>
        <w:widowControl/>
        <w:snapToGrid w:val="0"/>
        <w:spacing w:line="54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本单位未安排社会保险基金预算支出。</w:t>
      </w:r>
    </w:p>
    <w:p>
      <w:pPr>
        <w:pStyle w:val="9"/>
        <w:widowControl/>
        <w:numPr>
          <w:ilvl w:val="0"/>
          <w:numId w:val="0"/>
        </w:numPr>
        <w:spacing w:line="540" w:lineRule="exact"/>
        <w:ind w:left="1360" w:leftChars="0" w:hanging="720" w:firstLineChars="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SA"/>
        </w:rPr>
        <w:t>九、</w:t>
      </w:r>
      <w:r>
        <w:rPr>
          <w:rFonts w:hint="eastAsia" w:ascii="仿宋" w:hAnsi="仿宋" w:eastAsia="仿宋" w:cs="仿宋"/>
          <w:sz w:val="32"/>
          <w:szCs w:val="32"/>
        </w:rPr>
        <w:t>部门整体支出绩效情况</w:t>
      </w:r>
    </w:p>
    <w:p>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（一）绩效目标设置情况。</w:t>
      </w:r>
    </w:p>
    <w:p>
      <w:pPr>
        <w:widowControl/>
        <w:snapToGrid w:val="0"/>
        <w:spacing w:line="54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2023年市场机关事务正常运转，全年实现非税收入80万，火灾安全事故排查，全年未发生一起事故，西区农贸市场、港口市场、水产市场、草尾农贸市场、南大农贸市场5个市场投放整治广告，着力营造对业主贴心、让市民放心的市场环境。，</w:t>
      </w:r>
      <w:r>
        <w:rPr>
          <w:rFonts w:hint="default" w:ascii="仿宋" w:hAnsi="仿宋" w:eastAsia="仿宋" w:cs="仿宋"/>
          <w:kern w:val="2"/>
          <w:sz w:val="32"/>
          <w:szCs w:val="32"/>
          <w:lang w:val="en-US" w:eastAsia="zh-CN" w:bidi="ar-SA"/>
        </w:rPr>
        <w:t>要求各</w:t>
      </w:r>
      <w:r>
        <w:rPr>
          <w:rFonts w:hint="eastAsia" w:ascii="仿宋" w:hAnsi="仿宋" w:eastAsia="仿宋" w:cs="仿宋"/>
          <w:kern w:val="2"/>
          <w:sz w:val="32"/>
          <w:szCs w:val="32"/>
          <w:lang w:val="en-US" w:eastAsia="zh-CN" w:bidi="ar-SA"/>
        </w:rPr>
        <w:t>农贸</w:t>
      </w:r>
      <w:r>
        <w:rPr>
          <w:rFonts w:hint="default" w:ascii="仿宋" w:hAnsi="仿宋" w:eastAsia="仿宋" w:cs="仿宋"/>
          <w:kern w:val="2"/>
          <w:sz w:val="32"/>
          <w:szCs w:val="32"/>
          <w:lang w:val="en-US" w:eastAsia="zh-CN" w:bidi="ar-SA"/>
        </w:rPr>
        <w:t>市场做好安全生产巡查日志，每天下午5点前将安全生产情况及时上报办公室，做到发现问题及时整改落实</w:t>
      </w:r>
      <w:r>
        <w:rPr>
          <w:rFonts w:hint="eastAsia" w:ascii="仿宋" w:hAnsi="仿宋" w:eastAsia="仿宋" w:cs="仿宋"/>
          <w:kern w:val="2"/>
          <w:sz w:val="32"/>
          <w:szCs w:val="32"/>
          <w:lang w:val="en-US" w:eastAsia="zh-CN" w:bidi="ar-SA"/>
        </w:rPr>
        <w:t>，让消费者、经营者满意。</w:t>
      </w:r>
    </w:p>
    <w:p>
      <w:pPr>
        <w:widowControl/>
        <w:numPr>
          <w:ilvl w:val="0"/>
          <w:numId w:val="0"/>
        </w:numPr>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2"/>
          <w:sz w:val="32"/>
          <w:szCs w:val="32"/>
          <w:lang w:val="en-US" w:eastAsia="zh-CN" w:bidi="ar-SA"/>
        </w:rPr>
        <w:t>（二）</w:t>
      </w:r>
      <w:r>
        <w:rPr>
          <w:rFonts w:hint="eastAsia" w:ascii="仿宋" w:hAnsi="仿宋" w:eastAsia="仿宋" w:cs="仿宋"/>
          <w:color w:val="000000"/>
          <w:sz w:val="32"/>
          <w:szCs w:val="32"/>
        </w:rPr>
        <w:t>绩效目标完成情况。</w:t>
      </w:r>
    </w:p>
    <w:p>
      <w:pPr>
        <w:widowControl/>
        <w:spacing w:line="540" w:lineRule="exact"/>
        <w:ind w:firstLine="640" w:firstLineChars="2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202</w:t>
      </w: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年我中心认真落实上级决策部署，严格按照全面预算管理要求执行，总体控制得当。根据年初绩效目标设定，结合202</w:t>
      </w: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年度中心的重点工作和计划安排情况，优先保障重点项目支出。全年预算完成率和支付进度率较高，一般性支出规模得到进一步控制和压减。</w:t>
      </w:r>
    </w:p>
    <w:p>
      <w:pPr>
        <w:widowControl/>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（1）成本指标控制。2023年年初部门预算692.26万元，全年支出813.16万元。具体如下:</w:t>
      </w:r>
    </w:p>
    <w:p>
      <w:pPr>
        <w:widowControl/>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安全生产及市场业务工作</w:t>
      </w:r>
    </w:p>
    <w:p>
      <w:pPr>
        <w:widowControl/>
        <w:spacing w:line="540" w:lineRule="exact"/>
        <w:ind w:firstLine="640" w:firstLineChars="200"/>
        <w:jc w:val="both"/>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成立了市场服务中心安全生产领导小组，与各</w:t>
      </w:r>
      <w:r>
        <w:rPr>
          <w:rFonts w:hint="eastAsia" w:ascii="仿宋" w:hAnsi="仿宋" w:eastAsia="仿宋" w:cs="仿宋"/>
          <w:sz w:val="32"/>
          <w:szCs w:val="32"/>
          <w:lang w:val="en-US" w:eastAsia="zh-CN"/>
        </w:rPr>
        <w:t>基层</w:t>
      </w:r>
      <w:r>
        <w:rPr>
          <w:rFonts w:hint="default" w:ascii="仿宋" w:hAnsi="仿宋" w:eastAsia="仿宋" w:cs="仿宋"/>
          <w:sz w:val="32"/>
          <w:szCs w:val="32"/>
          <w:lang w:val="en-US" w:eastAsia="zh-CN"/>
        </w:rPr>
        <w:t>所签订安全生产责任状，要求各</w:t>
      </w:r>
      <w:r>
        <w:rPr>
          <w:rFonts w:hint="eastAsia" w:ascii="仿宋" w:hAnsi="仿宋" w:eastAsia="仿宋" w:cs="仿宋"/>
          <w:sz w:val="32"/>
          <w:szCs w:val="32"/>
          <w:lang w:val="en-US" w:eastAsia="zh-CN"/>
        </w:rPr>
        <w:t>农贸</w:t>
      </w:r>
      <w:r>
        <w:rPr>
          <w:rFonts w:hint="default" w:ascii="仿宋" w:hAnsi="仿宋" w:eastAsia="仿宋" w:cs="仿宋"/>
          <w:sz w:val="32"/>
          <w:szCs w:val="32"/>
          <w:lang w:val="en-US" w:eastAsia="zh-CN"/>
        </w:rPr>
        <w:t>市场做好安全生产巡查日志，每天下午5点前将安全生产情况及时上报办公室，做到发现问题及时整改落实。不定期进行安全生产检查，进一步加强各</w:t>
      </w:r>
      <w:r>
        <w:rPr>
          <w:rFonts w:hint="eastAsia" w:ascii="仿宋" w:hAnsi="仿宋" w:eastAsia="仿宋" w:cs="仿宋"/>
          <w:sz w:val="32"/>
          <w:szCs w:val="32"/>
          <w:lang w:val="en-US" w:eastAsia="zh-CN"/>
        </w:rPr>
        <w:t>农贸</w:t>
      </w:r>
      <w:r>
        <w:rPr>
          <w:rFonts w:hint="default" w:ascii="仿宋" w:hAnsi="仿宋" w:eastAsia="仿宋" w:cs="仿宋"/>
          <w:sz w:val="32"/>
          <w:szCs w:val="32"/>
          <w:lang w:val="en-US" w:eastAsia="zh-CN"/>
        </w:rPr>
        <w:t>市场安全消防隐患排查，落实消防安全制度，</w:t>
      </w:r>
      <w:r>
        <w:rPr>
          <w:rFonts w:hint="eastAsia" w:ascii="仿宋" w:hAnsi="仿宋" w:eastAsia="仿宋" w:cs="仿宋"/>
          <w:sz w:val="32"/>
          <w:szCs w:val="32"/>
          <w:lang w:val="en-US" w:eastAsia="zh-CN"/>
        </w:rPr>
        <w:t>杜绝了</w:t>
      </w:r>
      <w:r>
        <w:rPr>
          <w:rFonts w:hint="default" w:ascii="仿宋" w:hAnsi="仿宋" w:eastAsia="仿宋" w:cs="仿宋"/>
          <w:sz w:val="32"/>
          <w:szCs w:val="32"/>
          <w:lang w:val="en-US" w:eastAsia="zh-CN"/>
        </w:rPr>
        <w:t>消防安全</w:t>
      </w:r>
      <w:r>
        <w:rPr>
          <w:rFonts w:hint="eastAsia" w:ascii="仿宋" w:hAnsi="仿宋" w:eastAsia="仿宋" w:cs="仿宋"/>
          <w:sz w:val="32"/>
          <w:szCs w:val="32"/>
          <w:lang w:val="en-US" w:eastAsia="zh-CN"/>
        </w:rPr>
        <w:t>事故的发生；积极</w:t>
      </w:r>
      <w:r>
        <w:rPr>
          <w:rFonts w:hint="default" w:ascii="仿宋" w:hAnsi="仿宋" w:eastAsia="仿宋" w:cs="仿宋"/>
          <w:sz w:val="32"/>
          <w:szCs w:val="32"/>
          <w:lang w:val="en-US" w:eastAsia="zh-CN"/>
        </w:rPr>
        <w:t>开展农贸市场火灾事故隐患排查整治行动，遏制火灾事故的发生。在市场内开展规范使用液化气宣传和整治行动，把安全隐患控制在萌芽状态，全年未出现一例安全事故</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全年完成非税收入80万元</w:t>
      </w:r>
      <w:r>
        <w:rPr>
          <w:rFonts w:hint="eastAsia" w:ascii="仿宋" w:hAnsi="仿宋" w:eastAsia="仿宋" w:cs="仿宋"/>
          <w:sz w:val="32"/>
          <w:szCs w:val="32"/>
          <w:lang w:val="en-US" w:eastAsia="zh-CN"/>
        </w:rPr>
        <w:t>。</w:t>
      </w:r>
    </w:p>
    <w:p>
      <w:pPr>
        <w:widowControl/>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创建工作</w:t>
      </w:r>
    </w:p>
    <w:p>
      <w:pPr>
        <w:widowControl/>
        <w:spacing w:line="540" w:lineRule="exact"/>
        <w:ind w:firstLine="640" w:firstLineChars="200"/>
        <w:jc w:val="both"/>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我们进一步加大整治力度，加快工作节奏，使我市农贸市场达到创建标准要求。为全面推进创建工作的有序进行，我中心组织</w:t>
      </w:r>
      <w:r>
        <w:rPr>
          <w:rFonts w:hint="eastAsia" w:ascii="仿宋" w:hAnsi="仿宋" w:eastAsia="仿宋" w:cs="仿宋"/>
          <w:sz w:val="32"/>
          <w:szCs w:val="32"/>
          <w:lang w:val="en-US" w:eastAsia="zh-CN"/>
        </w:rPr>
        <w:t>全体</w:t>
      </w:r>
      <w:r>
        <w:rPr>
          <w:rFonts w:hint="default" w:ascii="仿宋" w:hAnsi="仿宋" w:eastAsia="仿宋" w:cs="仿宋"/>
          <w:sz w:val="32"/>
          <w:szCs w:val="32"/>
          <w:lang w:val="en-US" w:eastAsia="zh-CN"/>
        </w:rPr>
        <w:t>干职工联合城管等相关职能部门</w:t>
      </w:r>
      <w:r>
        <w:rPr>
          <w:rFonts w:hint="eastAsia" w:ascii="仿宋" w:hAnsi="仿宋" w:eastAsia="仿宋" w:cs="仿宋"/>
          <w:sz w:val="32"/>
          <w:szCs w:val="32"/>
          <w:lang w:val="en-US" w:eastAsia="zh-CN"/>
        </w:rPr>
        <w:t>对</w:t>
      </w:r>
      <w:r>
        <w:rPr>
          <w:rFonts w:hint="default" w:ascii="仿宋" w:hAnsi="仿宋" w:eastAsia="仿宋" w:cs="仿宋"/>
          <w:sz w:val="32"/>
          <w:szCs w:val="32"/>
          <w:lang w:val="en-US" w:eastAsia="zh-CN"/>
        </w:rPr>
        <w:t>书院路、金沙路占道经营的马路市场</w:t>
      </w:r>
      <w:r>
        <w:rPr>
          <w:rFonts w:hint="eastAsia" w:ascii="仿宋" w:hAnsi="仿宋" w:eastAsia="仿宋" w:cs="仿宋"/>
          <w:sz w:val="32"/>
          <w:szCs w:val="32"/>
          <w:lang w:val="en-US" w:eastAsia="zh-CN"/>
        </w:rPr>
        <w:t>进行</w:t>
      </w:r>
      <w:r>
        <w:rPr>
          <w:rFonts w:hint="default" w:ascii="仿宋" w:hAnsi="仿宋" w:eastAsia="仿宋" w:cs="仿宋"/>
          <w:sz w:val="32"/>
          <w:szCs w:val="32"/>
          <w:lang w:val="en-US" w:eastAsia="zh-CN"/>
        </w:rPr>
        <w:t>联合整治，</w:t>
      </w:r>
      <w:r>
        <w:rPr>
          <w:rFonts w:hint="eastAsia" w:ascii="仿宋" w:hAnsi="仿宋" w:eastAsia="仿宋" w:cs="仿宋"/>
          <w:sz w:val="32"/>
          <w:szCs w:val="32"/>
          <w:lang w:val="en-US" w:eastAsia="zh-CN"/>
        </w:rPr>
        <w:t>社会效能明显，获得广大市民一致好评</w:t>
      </w:r>
      <w:r>
        <w:rPr>
          <w:rFonts w:hint="default" w:ascii="仿宋" w:hAnsi="仿宋" w:eastAsia="仿宋" w:cs="仿宋"/>
          <w:sz w:val="32"/>
          <w:szCs w:val="32"/>
          <w:lang w:val="en-US" w:eastAsia="zh-CN"/>
        </w:rPr>
        <w:t>。加强了</w:t>
      </w:r>
      <w:r>
        <w:rPr>
          <w:rFonts w:hint="eastAsia" w:ascii="仿宋" w:hAnsi="仿宋" w:eastAsia="仿宋" w:cs="仿宋"/>
          <w:sz w:val="32"/>
          <w:szCs w:val="32"/>
          <w:lang w:val="en-US" w:eastAsia="zh-CN"/>
        </w:rPr>
        <w:t>市场日常管理和</w:t>
      </w:r>
      <w:r>
        <w:rPr>
          <w:rFonts w:hint="default" w:ascii="仿宋" w:hAnsi="仿宋" w:eastAsia="仿宋" w:cs="仿宋"/>
          <w:sz w:val="32"/>
          <w:szCs w:val="32"/>
          <w:lang w:val="en-US" w:eastAsia="zh-CN"/>
        </w:rPr>
        <w:t>市场内卫生秩序整治，张贴、悬挂创建横幅标语三十余条、招牌，印发创建宣传资料千余份，积极构建创建氛围。累计投入创建整治工作经费1</w:t>
      </w:r>
      <w:r>
        <w:rPr>
          <w:rFonts w:hint="eastAsia" w:ascii="仿宋" w:hAnsi="仿宋" w:eastAsia="仿宋" w:cs="仿宋"/>
          <w:sz w:val="32"/>
          <w:szCs w:val="32"/>
          <w:lang w:val="en-US" w:eastAsia="zh-CN"/>
        </w:rPr>
        <w:t>7</w:t>
      </w:r>
      <w:r>
        <w:rPr>
          <w:rFonts w:hint="default" w:ascii="仿宋" w:hAnsi="仿宋" w:eastAsia="仿宋" w:cs="仿宋"/>
          <w:sz w:val="32"/>
          <w:szCs w:val="32"/>
          <w:lang w:val="en-US" w:eastAsia="zh-CN"/>
        </w:rPr>
        <w:t>万多元，</w:t>
      </w:r>
      <w:r>
        <w:rPr>
          <w:rFonts w:hint="eastAsia" w:ascii="仿宋" w:hAnsi="仿宋" w:eastAsia="仿宋" w:cs="仿宋"/>
          <w:sz w:val="32"/>
          <w:szCs w:val="32"/>
          <w:lang w:val="en-US" w:eastAsia="zh-CN"/>
        </w:rPr>
        <w:t>在年底省级创文复检中获得了好的成绩</w:t>
      </w:r>
      <w:r>
        <w:rPr>
          <w:rFonts w:hint="default" w:ascii="仿宋" w:hAnsi="仿宋" w:eastAsia="仿宋" w:cs="仿宋"/>
          <w:sz w:val="32"/>
          <w:szCs w:val="32"/>
          <w:lang w:val="en-US" w:eastAsia="zh-CN"/>
        </w:rPr>
        <w:t>。</w:t>
      </w:r>
    </w:p>
    <w:p>
      <w:pPr>
        <w:widowControl/>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乡村振兴工作</w:t>
      </w:r>
    </w:p>
    <w:p>
      <w:pPr>
        <w:widowControl/>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市委市政府实施乡村振兴战略工作部署的要求，中心组织党员干部到对口联系点黄茅洲镇子母城村开展了一系列精准扶贫和乡村振兴工作，经过一年的不懈努力，达到贫困户己全部脱贫的预期目标，获得了当地村民的一致好评，已经于2023年6月圆满地完成了上级部门交给的任务。</w:t>
      </w:r>
    </w:p>
    <w:p>
      <w:pPr>
        <w:widowControl/>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市场提质改建及市场整治工作</w:t>
      </w:r>
    </w:p>
    <w:p>
      <w:pPr>
        <w:widowControl/>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我中心为了推进由传统型农贸市场向新型智慧型农贸市场的转型进程，对各城镇农贸市场的基础性设施进行了大量的维修，并加强对各农贸市场环境卫生的综合治理力度，划行归市，整治市场违规经营，每月定期对各农贸市场进行清理冲洗，努力营造一个“智慧文明、诚信经营”的民生消费环境。</w:t>
      </w:r>
    </w:p>
    <w:p>
      <w:pPr>
        <w:widowControl/>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保障市场食品安全，加强对农贸市场食品安全检测、索证等管理，营造放心舒心的消费环境。添置了检测设备、电子显示屏，培训了检测专员，开展农贸市场食品农残检测。加强检测设备管理，每天在市场电子屏公示检测结果，实行全索证管理，督促经营户建立健全索证索票和进货台帐制度。</w:t>
      </w:r>
    </w:p>
    <w:p>
      <w:pPr>
        <w:widowControl/>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党风廉政建设工作</w:t>
      </w:r>
    </w:p>
    <w:p>
      <w:pPr>
        <w:widowControl/>
        <w:spacing w:line="540" w:lineRule="exact"/>
        <w:ind w:firstLine="640" w:firstLineChars="2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紧紧围绕中心发展工作大局，不断深化党风廉政建设工作，坚持与时俱进、突出重点、强化教育、标本兼治、惩防并举、注重预防的方针，圆满完成了各项工作任务，为推动中心政治安定和稳定</w:t>
      </w:r>
      <w:r>
        <w:rPr>
          <w:rFonts w:hint="eastAsia" w:ascii="仿宋" w:hAnsi="仿宋" w:eastAsia="仿宋" w:cs="仿宋"/>
          <w:sz w:val="32"/>
          <w:szCs w:val="32"/>
          <w:lang w:val="en-US" w:eastAsia="zh-CN"/>
        </w:rPr>
        <w:t>发展</w:t>
      </w:r>
      <w:r>
        <w:rPr>
          <w:rFonts w:hint="default" w:ascii="仿宋" w:hAnsi="仿宋" w:eastAsia="仿宋" w:cs="仿宋"/>
          <w:sz w:val="32"/>
          <w:szCs w:val="32"/>
          <w:lang w:val="en-US" w:eastAsia="zh-CN"/>
        </w:rPr>
        <w:t>发挥了积极作用。</w:t>
      </w:r>
    </w:p>
    <w:p>
      <w:pPr>
        <w:widowControl/>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产出指标</w:t>
      </w:r>
    </w:p>
    <w:p>
      <w:pPr>
        <w:widowControl/>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1、做好市场房屋维修。</w:t>
      </w:r>
    </w:p>
    <w:p>
      <w:pPr>
        <w:widowControl/>
        <w:spacing w:line="54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定期修缮房屋，排查安全隐患。对管辖内西区农贸市场及草尾农贸市场房屋进行检查修缮，确保市场正常运行，确保了市场内的经营业主及市民人身安全。</w:t>
      </w:r>
    </w:p>
    <w:p>
      <w:pPr>
        <w:widowControl/>
        <w:spacing w:line="540" w:lineRule="exact"/>
        <w:ind w:firstLine="640" w:firstLineChars="2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2、市场整顿治理及维护</w:t>
      </w:r>
    </w:p>
    <w:p>
      <w:pPr>
        <w:widowControl/>
        <w:spacing w:line="54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稳增资金投入，强化日常保洁工作。聘请了2名市场保洁员，对市场营业区域不定期消杀，保持垃圾不落地，日产日清，每天清洗地面，保洁工作已经常态化。</w:t>
      </w:r>
    </w:p>
    <w:p>
      <w:pPr>
        <w:widowControl/>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3、投放市场整治广告数</w:t>
      </w:r>
    </w:p>
    <w:p>
      <w:pPr>
        <w:widowControl/>
        <w:spacing w:line="54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投放整治广告，优化营商环境。在西区农贸市场、港口市场、水产市场、草尾农贸市场、南大农贸市场5个市场投放整治广告，着力营造对业主贴心、让市民放心的市场环境。</w:t>
      </w:r>
    </w:p>
    <w:p>
      <w:pPr>
        <w:widowControl/>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（3）效益指标</w:t>
      </w:r>
    </w:p>
    <w:p>
      <w:pPr>
        <w:widowControl/>
        <w:spacing w:line="54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1、经济效益指标</w:t>
      </w:r>
    </w:p>
    <w:p>
      <w:pPr>
        <w:widowControl/>
        <w:spacing w:line="540" w:lineRule="exact"/>
        <w:ind w:firstLine="640" w:firstLineChars="200"/>
        <w:jc w:val="both"/>
        <w:rPr>
          <w:rFonts w:hint="eastAsia" w:ascii="仿宋" w:hAnsi="仿宋" w:eastAsia="仿宋" w:cs="仿宋"/>
          <w:sz w:val="32"/>
          <w:szCs w:val="32"/>
        </w:rPr>
      </w:pPr>
      <w:r>
        <w:rPr>
          <w:rFonts w:hint="default" w:ascii="仿宋" w:hAnsi="仿宋" w:eastAsia="仿宋" w:cs="仿宋"/>
          <w:sz w:val="32"/>
          <w:szCs w:val="32"/>
        </w:rPr>
        <w:t>全年完成</w:t>
      </w:r>
      <w:r>
        <w:rPr>
          <w:rFonts w:hint="eastAsia" w:ascii="仿宋" w:hAnsi="仿宋" w:eastAsia="仿宋" w:cs="仿宋"/>
          <w:sz w:val="32"/>
          <w:szCs w:val="32"/>
          <w:lang w:val="en-US" w:eastAsia="zh-CN"/>
        </w:rPr>
        <w:t>摊位费收取等</w:t>
      </w:r>
      <w:r>
        <w:rPr>
          <w:rFonts w:hint="default" w:ascii="仿宋" w:hAnsi="仿宋" w:eastAsia="仿宋" w:cs="仿宋"/>
          <w:sz w:val="32"/>
          <w:szCs w:val="32"/>
        </w:rPr>
        <w:t>非税收入80万元</w:t>
      </w:r>
      <w:r>
        <w:rPr>
          <w:rFonts w:hint="eastAsia" w:ascii="仿宋" w:hAnsi="仿宋" w:eastAsia="仿宋" w:cs="仿宋"/>
          <w:sz w:val="32"/>
          <w:szCs w:val="32"/>
        </w:rPr>
        <w:t>。</w:t>
      </w:r>
    </w:p>
    <w:p>
      <w:pPr>
        <w:widowControl/>
        <w:spacing w:line="54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2、社会效益指标</w:t>
      </w:r>
    </w:p>
    <w:p>
      <w:pPr>
        <w:widowControl/>
        <w:spacing w:line="54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积极</w:t>
      </w:r>
      <w:r>
        <w:rPr>
          <w:rFonts w:hint="default" w:ascii="仿宋" w:hAnsi="仿宋" w:eastAsia="仿宋" w:cs="仿宋"/>
          <w:sz w:val="32"/>
          <w:szCs w:val="32"/>
        </w:rPr>
        <w:t>开展农贸市场火灾事故隐患排查整治行动，遏制火灾事故的发生。在市场内开展规范使用液化气宣传和整治行动，把安全隐患控制在萌芽状态，全年未出现一例安全事故。</w:t>
      </w:r>
    </w:p>
    <w:p>
      <w:pPr>
        <w:widowControl/>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3、可持续影响指标</w:t>
      </w:r>
    </w:p>
    <w:p>
      <w:pPr>
        <w:widowControl/>
        <w:spacing w:line="540" w:lineRule="exact"/>
        <w:ind w:firstLine="640" w:firstLineChars="200"/>
        <w:jc w:val="both"/>
        <w:rPr>
          <w:rFonts w:hint="eastAsia" w:ascii="仿宋" w:hAnsi="仿宋" w:eastAsia="仿宋" w:cs="仿宋"/>
          <w:sz w:val="32"/>
          <w:szCs w:val="32"/>
        </w:rPr>
      </w:pPr>
      <w:r>
        <w:rPr>
          <w:rFonts w:hint="default" w:ascii="仿宋" w:hAnsi="仿宋" w:eastAsia="仿宋" w:cs="仿宋"/>
          <w:sz w:val="32"/>
          <w:szCs w:val="32"/>
        </w:rPr>
        <w:t>保障市场食品安全，加强对农贸市场食品安全检测、索证等管理，营造放心舒心的消费环境。添置了检测设备、电子显示屏，培训了检测专员，开展农贸市场食品农残检测。加强检测设备管理，每天在市场电子屏公示检测结果，实行全索证管理，督促经营户建立健全索证索票和进货台帐制度。</w:t>
      </w:r>
    </w:p>
    <w:p>
      <w:pPr>
        <w:widowControl/>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（4）服务对象满意度指标</w:t>
      </w:r>
    </w:p>
    <w:p>
      <w:pPr>
        <w:widowControl/>
        <w:spacing w:line="54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rPr>
        <w:t>在202</w:t>
      </w:r>
      <w:r>
        <w:rPr>
          <w:rFonts w:hint="eastAsia" w:ascii="仿宋" w:hAnsi="仿宋" w:eastAsia="仿宋" w:cs="仿宋"/>
          <w:sz w:val="32"/>
          <w:szCs w:val="32"/>
          <w:lang w:val="en-US" w:eastAsia="zh-CN"/>
        </w:rPr>
        <w:t>3</w:t>
      </w:r>
      <w:r>
        <w:rPr>
          <w:rFonts w:hint="eastAsia" w:ascii="仿宋" w:hAnsi="仿宋" w:eastAsia="仿宋" w:cs="仿宋"/>
          <w:sz w:val="32"/>
          <w:szCs w:val="32"/>
        </w:rPr>
        <w:t>年里我们继续完善市场功能布局，下大力解决出店经营、乱摆乱放、乱占通道等行为，联合整治</w:t>
      </w:r>
      <w:r>
        <w:rPr>
          <w:rFonts w:hint="eastAsia" w:ascii="仿宋" w:hAnsi="仿宋" w:eastAsia="仿宋" w:cs="仿宋"/>
          <w:sz w:val="32"/>
          <w:szCs w:val="32"/>
          <w:lang w:val="en-US" w:eastAsia="zh-CN"/>
        </w:rPr>
        <w:t>农贸</w:t>
      </w:r>
      <w:r>
        <w:rPr>
          <w:rFonts w:hint="eastAsia" w:ascii="仿宋" w:hAnsi="仿宋" w:eastAsia="仿宋" w:cs="仿宋"/>
          <w:sz w:val="32"/>
          <w:szCs w:val="32"/>
        </w:rPr>
        <w:t>私搭乱建行为、控违拆违，提高市场规范化管理水平，达到人民群众满意度95%。</w:t>
      </w:r>
      <w:r>
        <w:rPr>
          <w:rFonts w:hint="eastAsia" w:ascii="仿宋" w:hAnsi="仿宋" w:eastAsia="仿宋" w:cs="仿宋"/>
          <w:sz w:val="32"/>
          <w:szCs w:val="32"/>
          <w:lang w:val="en-US" w:eastAsia="zh-CN"/>
        </w:rPr>
        <w:t>。</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420" w:firstLineChars="0"/>
        <w:jc w:val="left"/>
        <w:textAlignment w:val="center"/>
        <w:rPr>
          <w:rFonts w:hint="eastAsia" w:ascii="仿宋" w:hAnsi="仿宋" w:eastAsia="仿宋" w:cs="仿宋"/>
          <w:sz w:val="32"/>
          <w:szCs w:val="32"/>
        </w:rPr>
      </w:pPr>
      <w:r>
        <w:rPr>
          <w:rFonts w:hint="eastAsia" w:ascii="仿宋" w:hAnsi="仿宋" w:eastAsia="仿宋" w:cs="仿宋"/>
          <w:kern w:val="2"/>
          <w:sz w:val="32"/>
          <w:szCs w:val="32"/>
          <w:lang w:val="en-US" w:eastAsia="zh-CN" w:bidi="ar-SA"/>
        </w:rPr>
        <w:t>十、</w:t>
      </w:r>
      <w:r>
        <w:rPr>
          <w:rFonts w:hint="eastAsia" w:ascii="仿宋" w:hAnsi="仿宋" w:eastAsia="仿宋" w:cs="仿宋"/>
          <w:sz w:val="32"/>
          <w:szCs w:val="32"/>
        </w:rPr>
        <w:t>存在的主要问题及原因分析</w:t>
      </w:r>
    </w:p>
    <w:p>
      <w:pPr>
        <w:widowControl/>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沅江市</w:t>
      </w:r>
      <w:r>
        <w:rPr>
          <w:rFonts w:hint="eastAsia" w:ascii="仿宋" w:hAnsi="仿宋" w:eastAsia="仿宋" w:cs="仿宋"/>
          <w:sz w:val="32"/>
          <w:szCs w:val="32"/>
        </w:rPr>
        <w:t>市场服务中心根据财政局的要求，严格进行绩效目标管理，严格按预算进行部门整体支出，所有资金均按预算用途进行管理、使用，保证资金使用规范、高效，提升整体效益，实现了部门预算管理总体目标。但是由于市场服务中心的财政预算不能弥补业务实际支出，业务工作费用支出报销不及时，无法体现各项业务项目支出明细，只是作为综合支出核算，作为基本支出列支。目前市场服务中心资金压力大，运行艰难的情况，严重制约了市场事业的发展。</w:t>
      </w:r>
    </w:p>
    <w:p>
      <w:pPr>
        <w:pStyle w:val="9"/>
        <w:widowControl/>
        <w:numPr>
          <w:ilvl w:val="0"/>
          <w:numId w:val="0"/>
        </w:numPr>
        <w:spacing w:line="540" w:lineRule="exact"/>
        <w:ind w:left="1360" w:leftChars="0" w:hanging="720" w:firstLineChars="0"/>
        <w:rPr>
          <w:rFonts w:hint="eastAsia" w:ascii="仿宋" w:hAnsi="仿宋" w:eastAsia="仿宋" w:cs="仿宋"/>
          <w:sz w:val="32"/>
          <w:szCs w:val="32"/>
        </w:rPr>
      </w:pPr>
      <w:r>
        <w:rPr>
          <w:rFonts w:hint="eastAsia" w:ascii="仿宋" w:hAnsi="仿宋" w:eastAsia="仿宋" w:cs="仿宋"/>
          <w:kern w:val="2"/>
          <w:sz w:val="32"/>
          <w:szCs w:val="32"/>
          <w:lang w:val="en-US" w:eastAsia="zh-CN" w:bidi="ar-SA"/>
        </w:rPr>
        <w:t>十一、</w:t>
      </w:r>
      <w:r>
        <w:rPr>
          <w:rFonts w:hint="eastAsia" w:ascii="仿宋" w:hAnsi="仿宋" w:eastAsia="仿宋" w:cs="仿宋"/>
          <w:sz w:val="32"/>
          <w:szCs w:val="32"/>
        </w:rPr>
        <w:t>下一步改进措施</w:t>
      </w:r>
    </w:p>
    <w:p>
      <w:pPr>
        <w:widowControl/>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（一）应科学合理编制预算，严格执行预算</w:t>
      </w:r>
    </w:p>
    <w:p>
      <w:pPr>
        <w:widowControl/>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加强预算编制的前瞻性，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pPr>
        <w:widowControl/>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（二）完善管理制度，进一步加强经费管理</w:t>
      </w:r>
    </w:p>
    <w:p>
      <w:pPr>
        <w:widowControl/>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进步贯彻落实中央八项规定和湖南省委“九条规定”，建立本部门“三公经费”等公务支出管理制度及厉行节约制度，加强经费审批和控制，规范支出标准与范围，并严格执行。</w:t>
      </w:r>
    </w:p>
    <w:p>
      <w:pPr>
        <w:pStyle w:val="9"/>
        <w:widowControl/>
        <w:numPr>
          <w:ilvl w:val="0"/>
          <w:numId w:val="0"/>
        </w:numPr>
        <w:spacing w:line="540" w:lineRule="exact"/>
        <w:ind w:left="1360" w:leftChars="0" w:hanging="720" w:firstLineChars="0"/>
        <w:rPr>
          <w:rFonts w:hint="eastAsia" w:ascii="仿宋" w:hAnsi="仿宋" w:eastAsia="仿宋" w:cs="仿宋"/>
          <w:sz w:val="32"/>
          <w:szCs w:val="32"/>
        </w:rPr>
      </w:pPr>
      <w:r>
        <w:rPr>
          <w:rFonts w:hint="eastAsia" w:ascii="仿宋" w:hAnsi="仿宋" w:eastAsia="仿宋" w:cs="仿宋"/>
          <w:kern w:val="2"/>
          <w:sz w:val="32"/>
          <w:szCs w:val="32"/>
          <w:lang w:val="en-US" w:eastAsia="zh-CN" w:bidi="ar-SA"/>
        </w:rPr>
        <w:t>十二、</w:t>
      </w:r>
      <w:r>
        <w:rPr>
          <w:rFonts w:hint="eastAsia" w:ascii="仿宋" w:hAnsi="仿宋" w:eastAsia="仿宋" w:cs="仿宋"/>
          <w:sz w:val="32"/>
          <w:szCs w:val="32"/>
        </w:rPr>
        <w:t>绩效自评结果拟应用和公开情况</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在被评价年度按照《预算法》和政府信息公开有关规定在单位门户网站或其他渠道公开相关预决算信息，用以反映单位预决算管理的公开透明情况:在被评价年度按照绩效目标批复要求在单位门户网站或其他渠道公开绩效目标，所公开的绩效目标内容与批复一致;被评价年度按绩效自评规定在单位门户网站或其他渠道公开自评材料，用以反映单位公开的自评材料的真实、及时、透明情况。</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十二、其他需要说明的情况</w:t>
      </w:r>
    </w:p>
    <w:p>
      <w:pPr>
        <w:spacing w:line="600" w:lineRule="exact"/>
        <w:ind w:firstLine="640" w:firstLineChars="200"/>
        <w:rPr>
          <w:rFonts w:hint="eastAsia" w:ascii="仿宋" w:hAnsi="仿宋" w:eastAsia="仿宋" w:cs="仿宋"/>
          <w:sz w:val="32"/>
          <w:szCs w:val="32"/>
        </w:rPr>
      </w:pPr>
      <w:r>
        <w:rPr>
          <w:rFonts w:hint="eastAsia"/>
          <w:sz w:val="32"/>
          <w:szCs w:val="32"/>
          <w:lang w:val="en-US" w:eastAsia="zh-CN"/>
        </w:rPr>
        <w:t>无</w:t>
      </w:r>
      <w:r>
        <w:rPr>
          <w:rFonts w:hint="eastAsia"/>
          <w:sz w:val="32"/>
          <w:szCs w:val="32"/>
        </w:rPr>
        <w:t>。</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rPr>
      </w:pPr>
      <w:r>
        <w:rPr>
          <w:rFonts w:hint="eastAsia" w:ascii="仿宋" w:hAnsi="仿宋" w:eastAsia="仿宋" w:cs="仿宋"/>
          <w:sz w:val="32"/>
          <w:szCs w:val="32"/>
        </w:rPr>
        <w:t xml:space="preserve">          </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sectPr>
      <w:pgSz w:w="11907" w:h="16840"/>
      <w:pgMar w:top="2098" w:right="1474" w:bottom="1701" w:left="1588" w:header="851" w:footer="1134" w:gutter="0"/>
      <w:paperSrc w:first="7" w:other="7"/>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3NTRhNTBiNGJhMjI4ODAxOTBkZTJiMDk4ZGI2NjQifQ=="/>
  </w:docVars>
  <w:rsids>
    <w:rsidRoot w:val="79F85972"/>
    <w:rsid w:val="028F48AE"/>
    <w:rsid w:val="038320D0"/>
    <w:rsid w:val="04834F06"/>
    <w:rsid w:val="071331FE"/>
    <w:rsid w:val="24ED25AB"/>
    <w:rsid w:val="43FB4137"/>
    <w:rsid w:val="515432C7"/>
    <w:rsid w:val="79F85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28"/>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1"/>
    <w:rPr>
      <w:rFonts w:ascii="仿宋_GB2312" w:hAnsi="仿宋_GB2312" w:eastAsia="仿宋_GB2312" w:cs="仿宋_GB2312"/>
      <w:sz w:val="32"/>
      <w:szCs w:val="32"/>
      <w:lang w:val="zh-CN" w:eastAsia="zh-CN" w:bidi="zh-CN"/>
    </w:rPr>
  </w:style>
  <w:style w:type="paragraph" w:styleId="3">
    <w:name w:val="Body Text First Indent"/>
    <w:basedOn w:val="2"/>
    <w:next w:val="2"/>
    <w:autoRedefine/>
    <w:semiHidden/>
    <w:qFormat/>
    <w:uiPriority w:val="99"/>
    <w:pPr>
      <w:ind w:firstLine="420" w:firstLineChars="100"/>
    </w:pPr>
    <w:rPr>
      <w:rFonts w:cs="Times New Roman"/>
      <w:szCs w:val="24"/>
    </w:rPr>
  </w:style>
  <w:style w:type="paragraph" w:styleId="4">
    <w:name w:val="Normal Indent"/>
    <w:basedOn w:val="1"/>
    <w:autoRedefine/>
    <w:qFormat/>
    <w:uiPriority w:val="0"/>
    <w:pPr>
      <w:widowControl w:val="0"/>
      <w:ind w:firstLine="420" w:firstLineChars="200"/>
      <w:textAlignment w:val="auto"/>
    </w:pPr>
  </w:style>
  <w:style w:type="paragraph" w:styleId="5">
    <w:name w:val="toc 5"/>
    <w:basedOn w:val="1"/>
    <w:next w:val="1"/>
    <w:autoRedefine/>
    <w:semiHidden/>
    <w:qFormat/>
    <w:uiPriority w:val="99"/>
    <w:pPr>
      <w:ind w:left="1680" w:leftChars="800"/>
    </w:p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2024-05-12T08:58:00Z</dcterms:created>
  <dc:creator>su'xiao</dc:creator>
  <cp:lastModifiedBy>Sandy</cp:lastModifiedBy>
  <dcterms:modified xsi:type="dcterms:W3CDTF">2024-09-13T02:06:44Z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4CCB3799BBE74436ACA0044FC9A8F647_13</vt:lpwstr>
  </property>
</Properties>
</file>