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0F559">
      <w:pPr>
        <w:widowControl/>
        <w:jc w:val="left"/>
        <w:rPr>
          <w:rFonts w:hint="eastAsia" w:eastAsia="黑体"/>
          <w:kern w:val="0"/>
          <w:sz w:val="32"/>
          <w:szCs w:val="32"/>
          <w:lang w:val="en-US" w:eastAsia="zh-CN"/>
        </w:rPr>
      </w:pPr>
    </w:p>
    <w:p w14:paraId="4A72D352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0B477D03"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2023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val="en-US" w:eastAsia="zh-CN"/>
        </w:rPr>
        <w:t>沅江市科学技术和工业信息化局</w:t>
      </w:r>
      <w:r>
        <w:rPr>
          <w:rFonts w:eastAsia="方正小标宋_GBK"/>
          <w:sz w:val="48"/>
          <w:szCs w:val="48"/>
        </w:rPr>
        <w:t>整体支出绩效自评报告</w:t>
      </w:r>
    </w:p>
    <w:p w14:paraId="0FFFB88A">
      <w:pPr>
        <w:jc w:val="center"/>
        <w:rPr>
          <w:rFonts w:eastAsia="黑体"/>
          <w:sz w:val="32"/>
          <w:szCs w:val="32"/>
        </w:rPr>
      </w:pPr>
    </w:p>
    <w:p w14:paraId="5C5EDA28">
      <w:pPr>
        <w:jc w:val="center"/>
        <w:rPr>
          <w:rFonts w:eastAsia="黑体"/>
          <w:sz w:val="32"/>
          <w:szCs w:val="32"/>
        </w:rPr>
      </w:pPr>
    </w:p>
    <w:p w14:paraId="55FA4539">
      <w:pPr>
        <w:jc w:val="center"/>
        <w:rPr>
          <w:rFonts w:eastAsia="黑体"/>
          <w:sz w:val="32"/>
          <w:szCs w:val="32"/>
        </w:rPr>
      </w:pPr>
    </w:p>
    <w:p w14:paraId="6619ED9E">
      <w:pPr>
        <w:jc w:val="center"/>
        <w:rPr>
          <w:rFonts w:eastAsia="黑体"/>
          <w:sz w:val="32"/>
          <w:szCs w:val="32"/>
        </w:rPr>
      </w:pPr>
    </w:p>
    <w:p w14:paraId="2AAFE11C">
      <w:pPr>
        <w:jc w:val="center"/>
        <w:rPr>
          <w:rFonts w:eastAsia="黑体"/>
          <w:sz w:val="32"/>
          <w:szCs w:val="32"/>
        </w:rPr>
      </w:pPr>
    </w:p>
    <w:p w14:paraId="059ECB02">
      <w:pPr>
        <w:jc w:val="center"/>
        <w:rPr>
          <w:rFonts w:eastAsia="黑体"/>
          <w:sz w:val="32"/>
          <w:szCs w:val="32"/>
        </w:rPr>
      </w:pPr>
    </w:p>
    <w:p w14:paraId="22B32A2D">
      <w:pPr>
        <w:jc w:val="center"/>
        <w:rPr>
          <w:rFonts w:eastAsia="黑体"/>
          <w:sz w:val="32"/>
          <w:szCs w:val="32"/>
        </w:rPr>
      </w:pPr>
    </w:p>
    <w:p w14:paraId="365DCEEB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03E7D1BF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626C4B1C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5A2DC549">
      <w:pPr>
        <w:ind w:firstLine="720" w:firstLineChars="200"/>
        <w:jc w:val="both"/>
        <w:rPr>
          <w:rFonts w:hint="eastAsia" w:eastAsia="黑体"/>
          <w:sz w:val="36"/>
          <w:szCs w:val="36"/>
          <w:lang w:eastAsia="zh-CN"/>
        </w:rPr>
      </w:pPr>
    </w:p>
    <w:p w14:paraId="541C7BF8">
      <w:pPr>
        <w:ind w:firstLine="720" w:firstLineChars="200"/>
        <w:jc w:val="both"/>
        <w:rPr>
          <w:rFonts w:hint="eastAsia" w:eastAsia="黑体"/>
          <w:sz w:val="36"/>
          <w:szCs w:val="36"/>
          <w:lang w:eastAsia="zh-CN"/>
        </w:rPr>
      </w:pPr>
    </w:p>
    <w:p w14:paraId="673875AB">
      <w:pPr>
        <w:jc w:val="both"/>
        <w:rPr>
          <w:rFonts w:hint="eastAsia" w:eastAsia="黑体"/>
          <w:sz w:val="36"/>
          <w:szCs w:val="36"/>
          <w:u w:val="single"/>
          <w:lang w:val="en-US" w:eastAsia="zh-CN"/>
        </w:rPr>
      </w:pPr>
      <w:r>
        <w:rPr>
          <w:rFonts w:hint="eastAsia" w:eastAsia="黑体"/>
          <w:sz w:val="36"/>
          <w:szCs w:val="36"/>
          <w:lang w:eastAsia="zh-CN"/>
        </w:rPr>
        <w:t>部门（</w:t>
      </w:r>
      <w:r>
        <w:rPr>
          <w:rFonts w:eastAsia="黑体"/>
          <w:sz w:val="36"/>
          <w:szCs w:val="36"/>
        </w:rPr>
        <w:t>单位</w:t>
      </w:r>
      <w:r>
        <w:rPr>
          <w:rFonts w:hint="eastAsia" w:eastAsia="黑体"/>
          <w:sz w:val="36"/>
          <w:szCs w:val="36"/>
          <w:lang w:eastAsia="zh-CN"/>
        </w:rPr>
        <w:t>）</w:t>
      </w:r>
      <w:r>
        <w:rPr>
          <w:rFonts w:eastAsia="黑体"/>
          <w:sz w:val="36"/>
          <w:szCs w:val="36"/>
        </w:rPr>
        <w:t>名称：</w:t>
      </w:r>
      <w:r>
        <w:rPr>
          <w:rFonts w:hint="eastAsia" w:eastAsia="黑体"/>
          <w:sz w:val="36"/>
          <w:szCs w:val="36"/>
          <w:lang w:val="en-US" w:eastAsia="zh-CN"/>
        </w:rPr>
        <w:t xml:space="preserve"> 沅江市科学技术和工业信息化局</w:t>
      </w:r>
    </w:p>
    <w:p w14:paraId="6B9D62C4">
      <w:pPr>
        <w:ind w:firstLine="3240" w:firstLineChars="900"/>
        <w:jc w:val="both"/>
        <w:rPr>
          <w:rFonts w:hint="eastAsia" w:eastAsia="黑体"/>
          <w:sz w:val="36"/>
          <w:szCs w:val="36"/>
          <w:u w:val="none"/>
          <w:lang w:val="en-US" w:eastAsia="zh-CN"/>
        </w:rPr>
      </w:pPr>
    </w:p>
    <w:p w14:paraId="134C656C">
      <w:pPr>
        <w:ind w:firstLine="3240" w:firstLineChars="900"/>
        <w:jc w:val="both"/>
        <w:rPr>
          <w:rFonts w:hint="default" w:eastAsia="黑体"/>
          <w:sz w:val="36"/>
          <w:szCs w:val="36"/>
          <w:u w:val="single"/>
          <w:lang w:val="en-US" w:eastAsia="zh-CN"/>
        </w:rPr>
      </w:pPr>
      <w:r>
        <w:rPr>
          <w:rFonts w:hint="eastAsia" w:eastAsia="黑体"/>
          <w:sz w:val="36"/>
          <w:szCs w:val="36"/>
          <w:u w:val="none"/>
          <w:lang w:val="en-US" w:eastAsia="zh-CN"/>
        </w:rPr>
        <w:t>2024年 5 月 16 日</w:t>
      </w:r>
    </w:p>
    <w:p w14:paraId="428F14D3">
      <w:pPr>
        <w:jc w:val="center"/>
        <w:rPr>
          <w:rFonts w:eastAsia="黑体"/>
          <w:sz w:val="32"/>
          <w:szCs w:val="32"/>
        </w:rPr>
      </w:pPr>
    </w:p>
    <w:p w14:paraId="0D3220AA">
      <w:pPr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</w:p>
    <w:p w14:paraId="30B3658B">
      <w:pPr>
        <w:spacing w:line="600" w:lineRule="exact"/>
        <w:ind w:left="1760" w:hanging="1760" w:hangingChars="400"/>
        <w:jc w:val="both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  <w:lang w:val="en-US" w:eastAsia="zh-CN"/>
        </w:rPr>
        <w:t>2</w:t>
      </w:r>
      <w:r>
        <w:rPr>
          <w:rFonts w:hint="eastAsia" w:eastAsia="黑体"/>
          <w:sz w:val="44"/>
          <w:szCs w:val="44"/>
        </w:rPr>
        <w:t>023年度</w:t>
      </w:r>
      <w:r>
        <w:rPr>
          <w:rFonts w:hint="eastAsia" w:eastAsia="黑体"/>
          <w:sz w:val="44"/>
          <w:szCs w:val="44"/>
          <w:lang w:val="en-US" w:eastAsia="zh-CN"/>
        </w:rPr>
        <w:t>沅江市科学技术和工业信息化局</w:t>
      </w:r>
      <w:r>
        <w:rPr>
          <w:rFonts w:hint="eastAsia" w:eastAsia="黑体"/>
          <w:sz w:val="44"/>
          <w:szCs w:val="44"/>
        </w:rPr>
        <w:t>整体支出绩效自评报告</w:t>
      </w:r>
    </w:p>
    <w:p w14:paraId="3BDBCDDC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 w14:paraId="4965E1CC">
      <w:pPr>
        <w:numPr>
          <w:ilvl w:val="0"/>
          <w:numId w:val="1"/>
        </w:numPr>
        <w:spacing w:line="60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部门（单位）</w:t>
      </w:r>
      <w:r>
        <w:rPr>
          <w:rFonts w:eastAsia="黑体"/>
          <w:sz w:val="32"/>
          <w:szCs w:val="32"/>
        </w:rPr>
        <w:t>基本情况</w:t>
      </w:r>
    </w:p>
    <w:p w14:paraId="543BFA93"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简要介绍2023年度重点工作；</w:t>
      </w:r>
    </w:p>
    <w:p w14:paraId="414A49D5"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强调度、稳运行，全面加强规模以上工业企业生产的研判分析和运行调度，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助力工业经济指标稳定增长。</w:t>
      </w:r>
    </w:p>
    <w:p w14:paraId="7413D02F"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强产业、促发展，紧盯工作目标，大力推进六大支柱产业链高质量发展，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推动六大支柱产业链2024年同比增长10%以上。</w:t>
      </w:r>
    </w:p>
    <w:p w14:paraId="3D92CE08"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强创新、增动能，坚持打好科技创新攻坚战，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扎实推进创新型县（市区）建设。充分发挥科技特派专家服务团资源优势，为企业开展科技攻关，解决企业技术难题。</w:t>
      </w:r>
    </w:p>
    <w:p w14:paraId="53A76EF8"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强帮扶、抓服务，不断优化营商环境，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深入推进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“三解三送三优”行动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助力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企业纾难解困。</w:t>
      </w:r>
    </w:p>
    <w:p w14:paraId="0996B15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5、强培育、筑平台，不断培育中小企业，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力争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新增国家级专精特新“小巨人”1家、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省级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“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专精特新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”中小企业10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家；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争创省级各类品牌数量达10个以上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</w:t>
      </w:r>
    </w:p>
    <w:p w14:paraId="47BDE78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6、强基础、重支撑，有序推进新型电网系统建设“三线一站”项目。</w:t>
      </w:r>
    </w:p>
    <w:p w14:paraId="271C11F5">
      <w:pPr>
        <w:spacing w:line="600" w:lineRule="exact"/>
        <w:ind w:firstLine="627" w:firstLineChars="196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（二）部门整体支出规模、使用方向、主要内容和涉及范围。</w:t>
      </w:r>
    </w:p>
    <w:p w14:paraId="47DBE122">
      <w:pPr>
        <w:spacing w:line="6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基本支出主要用于维持机关基本运转，履行其部门主要职责而发生的各项支出，经费的开支主要包括人员基本工资、津贴补贴、奖金、社会保障缴费、离退休费、抚恤费、住房公积金、办公费、印刷费、差旅费、水电费、其他交通费、办公设备购置费、维修（护）费、公务接待等日常公用经费等支出。</w:t>
      </w:r>
    </w:p>
    <w:p w14:paraId="46AF34DE">
      <w:pPr>
        <w:pStyle w:val="12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45503B4F">
      <w:pPr>
        <w:pStyle w:val="12"/>
        <w:spacing w:line="600" w:lineRule="exact"/>
        <w:ind w:firstLine="643"/>
        <w:rPr>
          <w:rFonts w:hint="default"/>
          <w:lang w:val="en-US" w:eastAsia="zh-CN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4C3C5FED">
      <w:pPr>
        <w:widowControl/>
        <w:spacing w:line="560" w:lineRule="exact"/>
        <w:ind w:left="319" w:leftChars="152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我局20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年年初安排预算收入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1245.61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因全市缩减开支，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其中一般公共预算财政拨款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1160.21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万元，政府性基金预算拨款0万元。其他收入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万元，年初预算支出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1160.21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万元，其中，基本支出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699.94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460.27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万元。基本支出中人员支出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651.94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万元，日常公用经费支出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万元。收支基本平衡。</w:t>
      </w:r>
    </w:p>
    <w:p w14:paraId="459FF857">
      <w:pPr>
        <w:widowControl/>
        <w:spacing w:line="560" w:lineRule="exact"/>
        <w:ind w:left="319" w:leftChars="152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年终决算拨款收入为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11658.78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万元，其中一般公共财政拨款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2439.23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万元，政府性基金拨款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，国有资本经营拔款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8万元，其他收入拔款9093.55万元。 </w:t>
      </w:r>
    </w:p>
    <w:p w14:paraId="1B785645">
      <w:pPr>
        <w:widowControl/>
        <w:spacing w:line="560" w:lineRule="exact"/>
        <w:ind w:left="319" w:leftChars="152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年终决算支出为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11658.78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万元。其中基本支出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901.11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10757.67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万元，基本支出中人员经费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781.88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万元，日常公用经费支出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119.23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</w:t>
      </w:r>
    </w:p>
    <w:p w14:paraId="182C1119">
      <w:pPr>
        <w:widowControl/>
        <w:spacing w:line="560" w:lineRule="exact"/>
        <w:ind w:left="319" w:leftChars="152" w:firstLine="640" w:firstLineChars="200"/>
        <w:jc w:val="lef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年我局“三公”经费预算安排支出12万元，其中，公务接待费12万元，公务用车运行费0万元，因公出国（境）费用0万元。实际“三公”经费支出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11.84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万元，其中：公务接待经费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11.84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万元，公务用车运行费 0万元，因公出国（境）费0万元。以上三项指标均未超出预算安排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0AA4756">
      <w:pPr>
        <w:pStyle w:val="12"/>
        <w:numPr>
          <w:ilvl w:val="0"/>
          <w:numId w:val="2"/>
        </w:numPr>
        <w:spacing w:line="600" w:lineRule="exact"/>
        <w:ind w:left="0" w:leftChars="0"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 w14:paraId="567187CD">
      <w:pPr>
        <w:pStyle w:val="12"/>
        <w:numPr>
          <w:ilvl w:val="0"/>
          <w:numId w:val="0"/>
        </w:numPr>
        <w:spacing w:line="600" w:lineRule="exact"/>
        <w:ind w:leftChars="20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2023年我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局年初预算项目资金533.67万元，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因全市缩减开支，实际到位资金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460.27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主要用于税收增量评价费、制造强省项目绩效管理、推进新型工业化考核费、科技三项费、企业改制及中小微企业创新创业大赛、破零倍增等。年初预算安排仅限于沅江市级预算资金。</w:t>
      </w:r>
    </w:p>
    <w:p w14:paraId="3880B5CD">
      <w:pPr>
        <w:pStyle w:val="12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 w14:paraId="775BF0D9">
      <w:pPr>
        <w:spacing w:line="560" w:lineRule="exact"/>
        <w:ind w:firstLine="960" w:firstLineChars="300"/>
        <w:rPr>
          <w:rFonts w:hint="default" w:ascii="Times New Roman" w:hAnsi="Times New Roman" w:eastAsia="黑体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2023年我局政府性基金资金118万元，主要用于城市创建工作基础设施建设。</w:t>
      </w:r>
    </w:p>
    <w:p w14:paraId="1992C3E1">
      <w:pPr>
        <w:pStyle w:val="12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</w:p>
    <w:p w14:paraId="7191014B">
      <w:pPr>
        <w:spacing w:line="560" w:lineRule="exact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2023年我局国有资本经营资金8万元，主要用于国有企业退休人员社化管理及补助等支出。</w:t>
      </w:r>
    </w:p>
    <w:p w14:paraId="5AFBB44E">
      <w:pPr>
        <w:pStyle w:val="12"/>
        <w:numPr>
          <w:ilvl w:val="0"/>
          <w:numId w:val="4"/>
        </w:num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55D605AB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无社会保险基金预算收支</w:t>
      </w:r>
    </w:p>
    <w:p w14:paraId="4D4F739C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2B458E6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1、实施创新驱动发展，筑牢企业发展根基。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坚持打好科技创新攻坚战，目前已草拟我市研发投入奖励办法，鼓励企业加大研发投入。通过对全市规上企业进行“一对一”指导帮扶，指导全县154家企业进行年度研发费用归集，目前填报金额为11.7亿元，预计研发费用占GDP比重2.0%；在技术攻关、平台搭建、项目申报方面持续发力，成功登记成果5项，认定省级工程技术研究中心1个、众创空间2个，获批省重点研发项目1项。</w:t>
      </w:r>
    </w:p>
    <w:p w14:paraId="0CE0099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2、加强经济运行调度，主导产业量质齐升。2023年，我市规上工业企业工业增加值增速为6.1%，规上工业企业总产值完成357.19亿元，同比上升4.5%；完成产业固定资产投资124.02亿元，增速14.1%；完成工业投资92.96亿元，增速45.7%；完成工业技改投资62.42亿元，增幅54.7%；工业投资项目入库45个，总投资95.99亿元，其中技改投资项目入库26个，总投资49.75亿元。（以上皆为平台上报数）</w:t>
      </w:r>
    </w:p>
    <w:p w14:paraId="5463C20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3、实施企业梯度培育，品牌建设提质增效。建立企业梯度培育和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“小升规”企业培育机制，助力企业做大做强。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争取各级各类专项资金1878.96万元，新增规模以上工业企业21家，“专精特新”中小企业9家，高新技术企业16家；认定省级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企业技术中心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7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工业设计中心1个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，新材料企业3个，消费品工业“三品”标杆企业1个，工业新产品2个，单项冠军产品1个；获评国家级绿色工厂2家、绿色供应链管理示范工厂1家，省级绿色工厂4家、绿色供应链管理示范工厂1家。</w:t>
      </w:r>
    </w:p>
    <w:p w14:paraId="78D0F0E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4、数字经济持续赋能，扶促企业智能发展。实现“上云”企业298家，“上平台”企业35家；成功申报省移动互联网项目1个；精一环保成功通过省两化融合管理体系贯标认证；7家企业成功认定省级制造业“三化”重点项目；2家企业通过互联网企业网络安全分类分级；新、改建5G基站118个（5G基站累计702个），平均每万人有基站数12.1个，农村新增千兆光纤端口2250余个，全市行政村已基本实现光纤网络全覆盖。</w:t>
      </w:r>
    </w:p>
    <w:p w14:paraId="4A21FDB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5、不断优化营商环境，增强惠企政策引导力。持续开展“三送三解三优”活动，发挥经济“压舱石”作用，对全市所有规模企业进行大走访，实现“规模企业帮扶、市级领导参与、镇场街道及市直单位”三个全覆盖，共收集81个问题，解决问题79个，完成率97.5%。开展银企对接服务30场次，累计已发放贷款额度1.6亿元，切实帮助企业缓解了燃眉之急。组织30多家企业参加“春风行动”招聘会，实际入职近500人。</w:t>
      </w:r>
    </w:p>
    <w:p w14:paraId="3895B6F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存在的问题及原因分析</w:t>
      </w:r>
    </w:p>
    <w:p w14:paraId="3D3487C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通过对我局部门整体支出绩效情况的分析、评价，反映</w:t>
      </w:r>
      <w:r>
        <w:rPr>
          <w:rFonts w:hint="eastAsia" w:ascii="仿宋_GB2312" w:hAnsi="仿宋_GB2312" w:eastAsia="仿宋_GB2312" w:cs="仿宋_GB2312"/>
          <w:sz w:val="32"/>
          <w:szCs w:val="32"/>
        </w:rPr>
        <w:t>出目前在预算支出及绩效管理方面，依然存在一些问题和不足：</w:t>
      </w:r>
    </w:p>
    <w:p w14:paraId="48C5BBB9">
      <w:pPr>
        <w:numPr>
          <w:ilvl w:val="0"/>
          <w:numId w:val="5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预算和预算绩效管理方面。</w:t>
      </w:r>
    </w:p>
    <w:p w14:paraId="5740604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存在问题：绩效评价结果应用的制度化建设欠缺，绩效评价结果应用在财务管理制度中只有原则性规定，细化、量化程度不足，执行效果不佳。项目库管理有待加强，尤其是跨年项目资金安排不够科学准确，容易造成资金沉淀，影响预算执行进度，项目入库的事前评估不够，部分项目未能如期开展。</w:t>
      </w:r>
    </w:p>
    <w:p w14:paraId="715BEC4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主要原因：存在预算绩效管理重评价轻应用，预算安排重业务轻效果、重经验轻制度化管理的意识，在实际工作中总结经验、提升预算管理水平的能力本领不足。</w:t>
      </w:r>
    </w:p>
    <w:p w14:paraId="33A7721E">
      <w:pPr>
        <w:numPr>
          <w:ilvl w:val="0"/>
          <w:numId w:val="5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资金分配、使用方面。</w:t>
      </w:r>
    </w:p>
    <w:p w14:paraId="34C3D1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存在问题：资金分配方式有待改进，资金使用效益有待提高，对预算资金使用跟踪监控力度不足。</w:t>
      </w:r>
    </w:p>
    <w:p w14:paraId="5DB70CC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主要原因：预算资金分配评价标准体系不够科学、全面、量化，统筹业务、使用情况、资金存量的力度不够，资金使用绩效监控意识薄弱。</w:t>
      </w:r>
    </w:p>
    <w:p w14:paraId="5208D347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301D0A87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（一）提高认识。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预算及预算绩效管理理论、政策的宣传、学习、培训，进一步提高对预算绩效管理的认识，提升相关业务工作人员的能力水平，增强预算编制、执行的科学性、准确性和严肃性，做好预算绩效管理经验的总结、提升，不断提高预算绩效管理水平。</w:t>
      </w:r>
    </w:p>
    <w:p w14:paraId="5D32ADF1">
      <w:pPr>
        <w:ind w:firstLine="643" w:firstLineChars="200"/>
        <w:rPr>
          <w:rFonts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（二）加强制度建设。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机关现有财务管理制度，加强绩效评价结果应用，推进预算绩效管理实现全过程、全覆盖，用制度管好预算资金的安排、分配和使用，加强项目库管理，尤其是跨年项目的资金安排，抓好各项制度的执行落实，加强预算执行的监督、监控和调剂调整，及时化解预算执行过程中可能出现的问题和风险。</w:t>
      </w:r>
    </w:p>
    <w:p w14:paraId="5929678A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 w14:paraId="42D18180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（一）拟应用情况。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根据《湖南省财政厅关于印发《湖南省预算支出绩效评价管理办法》的通知》（湘财绩〔2020〕7号）、《关于全面实施预算绩效管理的实施方案》（沅政办资发〔2022〕2号）等文件规定，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拟将本次绩效自评结果作为下一年度机关预算支出安排的重要依据，对执行绩效低，效果差的项目资金进行削减或取消，将削减或取消部分统筹安排到重点、核心工作上来，确保预算执行绩效质量更高、效果更好。</w:t>
      </w:r>
    </w:p>
    <w:p w14:paraId="0B33F99B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（二）拟公开情况。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根据通知要求，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被评价年度按绩效自评规定在</w:t>
      </w:r>
      <w:r>
        <w:rPr>
          <w:rFonts w:hint="eastAsia" w:ascii="仿宋_GB2312" w:hAnsi="仿宋_GB2312" w:eastAsia="仿宋_GB2312" w:cs="仿宋_GB2312"/>
          <w:sz w:val="32"/>
          <w:szCs w:val="32"/>
        </w:rPr>
        <w:t>沅江市政府门户网站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公开自评材料，用以反映单位公开的自评材料的真实、及时、透明情况。</w:t>
      </w:r>
    </w:p>
    <w:p w14:paraId="3181A0EF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7BE62E6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p w14:paraId="57F49C8D"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3ED548E">
      <w:pPr>
        <w:pStyle w:val="2"/>
      </w:pPr>
    </w:p>
    <w:p w14:paraId="3C22C567">
      <w:pPr>
        <w:bidi w:val="0"/>
        <w:rPr>
          <w:rFonts w:hint="default"/>
          <w:lang w:val="en-US" w:eastAsia="zh-CN"/>
        </w:rPr>
      </w:pPr>
    </w:p>
    <w:p w14:paraId="185012D2">
      <w:pPr>
        <w:bidi w:val="0"/>
        <w:rPr>
          <w:rFonts w:hint="default"/>
          <w:lang w:val="en-US" w:eastAsia="zh-CN"/>
        </w:rPr>
      </w:pPr>
    </w:p>
    <w:p w14:paraId="5DFD8958">
      <w:pPr>
        <w:bidi w:val="0"/>
        <w:rPr>
          <w:rFonts w:hint="default"/>
          <w:lang w:val="en-US" w:eastAsia="zh-CN"/>
        </w:rPr>
      </w:pPr>
    </w:p>
    <w:p w14:paraId="6BEBA11E">
      <w:pPr>
        <w:bidi w:val="0"/>
        <w:rPr>
          <w:rFonts w:hint="default"/>
          <w:lang w:val="en-US" w:eastAsia="zh-CN"/>
        </w:rPr>
      </w:pPr>
    </w:p>
    <w:p w14:paraId="52A7F9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544907"/>
    <w:multiLevelType w:val="singleLevel"/>
    <w:tmpl w:val="8D5449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5AA194D"/>
    <w:multiLevelType w:val="singleLevel"/>
    <w:tmpl w:val="C5AA194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4EC02C9"/>
    <w:multiLevelType w:val="singleLevel"/>
    <w:tmpl w:val="F4EC02C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BFD0F1B"/>
    <w:multiLevelType w:val="singleLevel"/>
    <w:tmpl w:val="FBFD0F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92A8772"/>
    <w:multiLevelType w:val="singleLevel"/>
    <w:tmpl w:val="092A87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TA1OGQyMTMyMWJmMWE0NjhkNjZjODM2NmViN2YifQ=="/>
  </w:docVars>
  <w:rsids>
    <w:rsidRoot w:val="4CF8537C"/>
    <w:rsid w:val="011078C7"/>
    <w:rsid w:val="013D2CD1"/>
    <w:rsid w:val="0354195F"/>
    <w:rsid w:val="060E6ACB"/>
    <w:rsid w:val="07EF38AB"/>
    <w:rsid w:val="081B042E"/>
    <w:rsid w:val="0878022B"/>
    <w:rsid w:val="09664528"/>
    <w:rsid w:val="09EA6F07"/>
    <w:rsid w:val="0AAE43D8"/>
    <w:rsid w:val="0B865355"/>
    <w:rsid w:val="0FE81AA2"/>
    <w:rsid w:val="10CC380A"/>
    <w:rsid w:val="11C42E88"/>
    <w:rsid w:val="15CF4E03"/>
    <w:rsid w:val="170E6C90"/>
    <w:rsid w:val="18CD45C3"/>
    <w:rsid w:val="19D90D46"/>
    <w:rsid w:val="1A121762"/>
    <w:rsid w:val="1B43306F"/>
    <w:rsid w:val="1B6660C8"/>
    <w:rsid w:val="1E71789F"/>
    <w:rsid w:val="1FDD482E"/>
    <w:rsid w:val="239E1F85"/>
    <w:rsid w:val="240A239D"/>
    <w:rsid w:val="24D64800"/>
    <w:rsid w:val="2FA413F4"/>
    <w:rsid w:val="31D95650"/>
    <w:rsid w:val="323638C9"/>
    <w:rsid w:val="3B122A1A"/>
    <w:rsid w:val="3C7B0192"/>
    <w:rsid w:val="3F6D74C4"/>
    <w:rsid w:val="3F8F3AD1"/>
    <w:rsid w:val="41A575DC"/>
    <w:rsid w:val="43611B47"/>
    <w:rsid w:val="459534C4"/>
    <w:rsid w:val="4BC077AE"/>
    <w:rsid w:val="4CF8537C"/>
    <w:rsid w:val="50652BB1"/>
    <w:rsid w:val="521E3946"/>
    <w:rsid w:val="5406465F"/>
    <w:rsid w:val="55172147"/>
    <w:rsid w:val="57875362"/>
    <w:rsid w:val="5B254FA9"/>
    <w:rsid w:val="5B320822"/>
    <w:rsid w:val="5D0424F1"/>
    <w:rsid w:val="5ED93A91"/>
    <w:rsid w:val="5EF15B2F"/>
    <w:rsid w:val="62361E5F"/>
    <w:rsid w:val="64AA08E2"/>
    <w:rsid w:val="6EA26E5D"/>
    <w:rsid w:val="74AA5994"/>
    <w:rsid w:val="7639221A"/>
    <w:rsid w:val="78344005"/>
    <w:rsid w:val="7CC153BB"/>
    <w:rsid w:val="7EA3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宋体" w:hAnsi="宋体" w:eastAsia="宋体"/>
      <w:b/>
      <w:sz w:val="30"/>
    </w:rPr>
  </w:style>
  <w:style w:type="paragraph" w:styleId="3">
    <w:name w:val="Body Text First Indent"/>
    <w:basedOn w:val="2"/>
    <w:next w:val="2"/>
    <w:qFormat/>
    <w:uiPriority w:val="0"/>
    <w:pPr>
      <w:autoSpaceDE w:val="0"/>
      <w:autoSpaceDN w:val="0"/>
      <w:ind w:firstLine="420"/>
      <w:jc w:val="left"/>
    </w:pPr>
    <w:rPr>
      <w:rFonts w:cs="宋体"/>
      <w:kern w:val="0"/>
      <w:sz w:val="32"/>
      <w:szCs w:val="32"/>
      <w:lang w:eastAsia="en-US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alloon Text"/>
    <w:basedOn w:val="1"/>
    <w:autoRedefine/>
    <w:qFormat/>
    <w:uiPriority w:val="0"/>
    <w:rPr>
      <w:sz w:val="18"/>
      <w:szCs w:val="18"/>
    </w:rPr>
  </w:style>
  <w:style w:type="paragraph" w:styleId="6">
    <w:name w:val="footer"/>
    <w:basedOn w:val="1"/>
    <w:next w:val="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宋体" w:eastAsia="宋体"/>
      <w:sz w:val="24"/>
      <w:szCs w:val="21"/>
    </w:rPr>
  </w:style>
  <w:style w:type="paragraph" w:customStyle="1" w:styleId="10">
    <w:name w:val="BodyText1I2"/>
    <w:basedOn w:val="11"/>
    <w:autoRedefine/>
    <w:qFormat/>
    <w:uiPriority w:val="0"/>
    <w:pPr>
      <w:ind w:firstLine="420"/>
    </w:pPr>
  </w:style>
  <w:style w:type="paragraph" w:customStyle="1" w:styleId="11">
    <w:name w:val="BodyTextIndent"/>
    <w:basedOn w:val="1"/>
    <w:autoRedefine/>
    <w:qFormat/>
    <w:uiPriority w:val="0"/>
    <w:pPr>
      <w:spacing w:after="120"/>
      <w:ind w:left="420" w:leftChars="200" w:firstLine="200" w:firstLineChars="200"/>
      <w:textAlignment w:val="baseline"/>
    </w:p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3092</Words>
  <Characters>3353</Characters>
  <Lines>0</Lines>
  <Paragraphs>0</Paragraphs>
  <TotalTime>29</TotalTime>
  <ScaleCrop>false</ScaleCrop>
  <LinksUpToDate>false</LinksUpToDate>
  <CharactersWithSpaces>3363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2024-05-17T01:57:00Z</dcterms:created>
  <dc:creator>新欢</dc:creator>
  <cp:lastModifiedBy>Admin</cp:lastModifiedBy>
  <cp:lastPrinted>2024-07-09T12:35:00Z</cp:lastPrinted>
  <dcterms:modified xsi:type="dcterms:W3CDTF">2024-07-28T08:39:06Z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B4EF6B21E471481CAD9D6CBC54485E8E_11</vt:lpwstr>
  </property>
</Properties>
</file>