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  <w:lang w:val="en-US" w:eastAsia="zh-CN"/>
        </w:rPr>
        <w:t>沅江市畜牧水产事务中心</w:t>
      </w:r>
    </w:p>
    <w:p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整体支出绩效自评报告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简要介绍2023年度重点工作；</w:t>
      </w:r>
    </w:p>
    <w:p>
      <w:pPr>
        <w:snapToGrid w:val="0"/>
        <w:spacing w:line="52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2023年，在市委、市政府的坚强领导下，沅江市畜牧水产事务中心党组以党建为驱动，在全面推进洞庭湖养殖环境整治的同时，全力确保生猪稳产保供，大力发展百亿水产，成效初显，得到了各级领导肯定。一是禁捕退捕“高出一筹”。禁捕退捕全国现场会圆满召开；顺利迎接国家审计署审计。二是现代水产“独当一面”。现代水产稳定发展，制定出台“渔十条”，沅江市水产种质基地项目获国家发改委和财政部批复；转型升级传统养殖模式，培育稻渔种养示范基地，完成创建2022年湖南省水产绿色健康养殖技术推广“五大行动”骨干基地4个；大力发展加工仓储物流，完成2024年水产品加工与仓储保鲜能力建设项目申报，申请补助资金980万元；开展养殖尾水治理，完成第一批绿色循环试点项目，完成实施沅江市2023年渔业高质量发展补助项目，成功争取2023年渔业绿色循环发展试点项目；三是生猪生产“更进一步”。鼓励生猪生产发展；我市动物防疫工作典型经验材料在省农业农村厅网站刊登发表，春防、秋防强制免疫工作全面完成，应免畜禽免疫密度100%，在春防省检工作中获得高度评价。四是基础、底线工作“更深一层”。人才队伍不断夯实；“党建沅动力·百亿水文章”党建品牌创建工作持续推进；创文创卫积极参与；“学习强国”综合积分全市名列前茅；乡村振兴工作迎省考顺利过关；全年无一例安全事故发生，无一例违反各项规定案例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部门整体支出规模、使用方向、主要内容和涉及范围。</w:t>
      </w:r>
    </w:p>
    <w:p>
      <w:pPr>
        <w:numPr>
          <w:ilvl w:val="0"/>
          <w:numId w:val="0"/>
        </w:numPr>
        <w:spacing w:line="600" w:lineRule="exact"/>
        <w:ind w:leftChars="200"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2023年部门整体支出1421.05万元，主要用于人员工资、单位机关管理和日常运行。项目为榨南湖大湖保洁经费、榨南湖退养补贴、浩江湖退养补贴、五湖退养补偿经费、防疫储备物质及实验室经费、畜牧水产技术服务及五湖管理、村级防疫员工资补助。</w:t>
      </w:r>
    </w:p>
    <w:p>
      <w:pPr>
        <w:pStyle w:val="2"/>
        <w:numPr>
          <w:ilvl w:val="0"/>
          <w:numId w:val="0"/>
        </w:numPr>
        <w:ind w:leftChars="200"/>
      </w:pP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tabs>
          <w:tab w:val="left" w:pos="5418"/>
        </w:tabs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numPr>
          <w:ilvl w:val="0"/>
          <w:numId w:val="0"/>
        </w:numPr>
        <w:spacing w:line="600" w:lineRule="exact"/>
        <w:ind w:leftChars="20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 年本部门收入预算 1421.05 万元，其中：一般公共预算拨款 1421.05 万元，政府性基金预算拨款 0.00 万元，国有资本经营预算拨款 0.00 万元，社会保障基金预算资金 0.00万元，财政专户管理资金收入 0.00 万元，上级财政补助收入0.00 万元，事业收入 0.00 万元，事业单位经营服务收入 0.00万元，上级单位补助收入 0.00 万元，附属单位上缴收入 0.00万元，其他收入 0.00 万元。2023 年收入较去年增加 155.24 万元，上升 12.26%，主要是因为人员增加，工资等待遇增加。以及单位专项增加。</w:t>
      </w:r>
    </w:p>
    <w:p>
      <w:pPr>
        <w:numPr>
          <w:ilvl w:val="0"/>
          <w:numId w:val="0"/>
        </w:numPr>
        <w:spacing w:line="600" w:lineRule="exact"/>
        <w:ind w:leftChars="200" w:firstLine="640" w:firstLineChars="200"/>
        <w:rPr>
          <w:rFonts w:hint="default"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2023年预算安排基本支出916.85万元，其中工资福利支出817.67万元，商品和服务支出73万元，对个人和家庭的补助支出26.17万元。                        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7"/>
        <w:numPr>
          <w:ilvl w:val="0"/>
          <w:numId w:val="2"/>
        </w:numPr>
        <w:spacing w:line="600" w:lineRule="exact"/>
        <w:ind w:left="0" w:leftChars="0"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7"/>
        <w:numPr>
          <w:ilvl w:val="0"/>
          <w:numId w:val="0"/>
        </w:numPr>
        <w:spacing w:line="600" w:lineRule="exact"/>
        <w:ind w:leftChars="20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年单位专项504.2万元，分别为榨南湖大湖保洁经费60万元；榨南湖退养补贴83万元；浩江湖退养补贴55万元；防疫储备物质及实验室经费20万元；畜牧水产技术服务及五湖管理10万元；村级防疫员工资补助91.2万元；禽流感专项资金8万元，已全部完成绩效目标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本项目总分值100分，得分99分，具体情况分析如下：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（1）产出指标完成情况分析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①数量指标：在职人员控制率。（得9分）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管理制度健全率。（得10分）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质量指标：提高中心办事效率和服务质量。（得10分）；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时效指标：各项工作按时完成，完成率100%。（得10分）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（2）效益指标完成情况分析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经济效益指标：提高财政资金使用的规范性和实效性。（得10分）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社会效益指标：加强财政资源统筹，支出结构优化调整显著提高。（得10分）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可持续影响指标：长期保持有序运行，发挥各项职能，创造最大的社会效益。（得10分）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（3)满意度指标完成情况分析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服务对象满意度指标：受益群众满意度达到95%以上。（得10分）；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成本指标情况分析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40" w:leftChars="0" w:right="120" w:right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经济成本指标：预算控制率达95%以上。（得10分）</w:t>
      </w:r>
    </w:p>
    <w:p>
      <w:pPr>
        <w:pStyle w:val="7"/>
        <w:numPr>
          <w:ilvl w:val="0"/>
          <w:numId w:val="4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年初资金使用需求较多，但第一批预算资金拨付给单位的金额较少，且第二批预算资金拨付间隔过长。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在实际工作中的资金需求与在预算编制时的资金安排上存在出入，如在编制预算时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办公费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分配较多，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差旅费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分配较少，而在实际使用时，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差旅费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需求较多，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办公费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需求较少等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、绩效目标设立不够细化和量化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结合上年度的开支情况及预算资金安排情况，作为下年度编制预算时的依据，更合理的安排预算资金。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、填写预算绩效表时，分化目标，形成易评比、可量化的绩效目标。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、建议财政部门加快对预算拨付的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进度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，加大比例下拨第一批预算，或及时下拨第二批预算，缓解部门在年初的资金支付压力。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通过此次绩效自评，自评结果拟应用于中心各项收入的收支管理中，并将绩效自评结果按要求及时公开。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无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A89731D"/>
    <w:multiLevelType w:val="singleLevel"/>
    <w:tmpl w:val="0A8973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2570236"/>
    <w:multiLevelType w:val="singleLevel"/>
    <w:tmpl w:val="12570236"/>
    <w:lvl w:ilvl="0" w:tentative="0">
      <w:start w:val="4"/>
      <w:numFmt w:val="decimal"/>
      <w:lvlText w:val="（%1)"/>
      <w:lvlJc w:val="left"/>
      <w:pPr>
        <w:tabs>
          <w:tab w:val="left" w:pos="312"/>
        </w:tabs>
      </w:pPr>
    </w:lvl>
  </w:abstractNum>
  <w:abstractNum w:abstractNumId="4">
    <w:nsid w:val="41C6B1A1"/>
    <w:multiLevelType w:val="singleLevel"/>
    <w:tmpl w:val="41C6B1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dkNTZjYTk1NmJiOTU0OWQ3NDYxODU5MjdkYTIifQ=="/>
  </w:docVars>
  <w:rsids>
    <w:rsidRoot w:val="4B4A27B7"/>
    <w:rsid w:val="49F72ABE"/>
    <w:rsid w:val="4B4A27B7"/>
    <w:rsid w:val="5C1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2024-05-11T01:20:00Z</dcterms:created>
  <dc:creator>曦</dc:creator>
  <cp:lastModifiedBy>曦</cp:lastModifiedBy>
  <dcterms:modified xsi:type="dcterms:W3CDTF">2024-05-14T03:41:46Z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781EA2F77B664C9EB78BFA72A3866A6F_11</vt:lpwstr>
  </property>
</Properties>
</file>