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hint="eastAsia" w:eastAsia="方正小标宋_GBK"/>
          <w:sz w:val="48"/>
          <w:szCs w:val="48"/>
          <w:lang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2023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沅江市市场监督管理局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整体支出绩效自评报告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lang w:eastAsia="zh-CN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lang w:eastAsia="zh-CN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u w:val="single"/>
          <w:lang w:val="en-US" w:eastAsia="zh-CN"/>
        </w:rPr>
      </w:pPr>
      <w:r>
        <w:rPr>
          <w:rFonts w:hint="eastAsia" w:eastAsia="黑体"/>
          <w:sz w:val="36"/>
          <w:szCs w:val="36"/>
          <w:lang w:eastAsia="zh-CN"/>
        </w:rPr>
        <w:t>部门（</w:t>
      </w:r>
      <w:r>
        <w:rPr>
          <w:rFonts w:eastAsia="黑体"/>
          <w:sz w:val="36"/>
          <w:szCs w:val="36"/>
        </w:rPr>
        <w:t>单位</w:t>
      </w:r>
      <w:r>
        <w:rPr>
          <w:rFonts w:hint="eastAsia" w:eastAsia="黑体"/>
          <w:sz w:val="36"/>
          <w:szCs w:val="36"/>
          <w:lang w:eastAsia="zh-CN"/>
        </w:rPr>
        <w:t>）</w:t>
      </w:r>
      <w:r>
        <w:rPr>
          <w:rFonts w:eastAsia="黑体"/>
          <w:sz w:val="36"/>
          <w:szCs w:val="36"/>
        </w:rPr>
        <w:t>名称：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沅江市市场监督管理局     </w:t>
      </w:r>
    </w:p>
    <w:p>
      <w:pPr>
        <w:ind w:firstLine="3240" w:firstLineChars="900"/>
        <w:jc w:val="both"/>
        <w:rPr>
          <w:rFonts w:hint="eastAsia" w:eastAsia="黑体"/>
          <w:sz w:val="36"/>
          <w:szCs w:val="36"/>
          <w:u w:val="none"/>
          <w:lang w:val="en-US" w:eastAsia="zh-CN"/>
        </w:rPr>
      </w:pPr>
    </w:p>
    <w:p>
      <w:pPr>
        <w:ind w:firstLine="3240" w:firstLineChars="900"/>
        <w:jc w:val="both"/>
        <w:rPr>
          <w:rFonts w:hint="default" w:eastAsia="黑体"/>
          <w:sz w:val="36"/>
          <w:szCs w:val="36"/>
          <w:u w:val="single"/>
          <w:lang w:val="en-US" w:eastAsia="zh-CN"/>
        </w:rPr>
      </w:pPr>
      <w:r>
        <w:rPr>
          <w:rFonts w:hint="eastAsia" w:eastAsia="黑体"/>
          <w:sz w:val="36"/>
          <w:szCs w:val="36"/>
          <w:u w:val="none"/>
          <w:lang w:val="en-US" w:eastAsia="zh-CN"/>
        </w:rPr>
        <w:t>年   月  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>
      <w:pPr>
        <w:spacing w:line="600" w:lineRule="exact"/>
        <w:ind w:firstLine="880" w:firstLineChars="200"/>
        <w:jc w:val="center"/>
        <w:rPr>
          <w:rFonts w:hint="eastAsia" w:eastAsia="黑体"/>
          <w:sz w:val="44"/>
          <w:szCs w:val="44"/>
          <w:lang w:eastAsia="zh-CN"/>
        </w:rPr>
      </w:pPr>
      <w:r>
        <w:rPr>
          <w:rFonts w:hint="eastAsia" w:eastAsia="黑体"/>
          <w:sz w:val="44"/>
          <w:szCs w:val="44"/>
        </w:rPr>
        <w:t>2023年度</w:t>
      </w:r>
      <w:r>
        <w:rPr>
          <w:rFonts w:hint="eastAsia" w:eastAsia="黑体"/>
          <w:sz w:val="44"/>
          <w:szCs w:val="44"/>
          <w:lang w:eastAsia="zh-CN"/>
        </w:rPr>
        <w:t>沅江市市场监督管理局</w:t>
      </w:r>
    </w:p>
    <w:p>
      <w:pPr>
        <w:spacing w:line="600" w:lineRule="exact"/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整体支出绩效自评报告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部门（单位）</w:t>
      </w:r>
      <w:r>
        <w:rPr>
          <w:rFonts w:eastAsia="黑体"/>
          <w:sz w:val="32"/>
          <w:szCs w:val="32"/>
        </w:rPr>
        <w:t>基本情况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简要介绍2023年度重点工作；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2023年，在市委的正确领导下，沅江市市场监督管理局党组认真学习贯彻党的路线方针，坚持以习近平新时代中国特色社会主义思想为指导，紧紧围绕市委决策部署，坚持“讲政治、强发展、优监管、保安全、转作风”工作总思路，抓实抓好营商环境提升、助企服务提质、监管效能提速、民生守护提效、作风建设提标，加快提升市场监管现代化水平，为沅江经济高质量发展提供了有力支撑。2023年获评益阳市质量提升对标达标工作先进单位、益阳市“长江禁捕 打非断链”专项工作优秀单位。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部门整体支出规模、使用方向、主要内容和涉及范围。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2023年我局总支出4534.31万元，其中，工资福利支出3022.25万元，占总支出的66.65%；商品和服务支出269.09万元，占总支出的5.93%；对个人和家庭的补助149.12万元，占总支出的3.29%；项目支出1093.85万元，占总支出的24.13%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4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2023年我局基本支出3440.46万元，其中，工资福利支出3022.25万元，占总支出的87.84%；商品和服务支出269.09万元，占总支出的7.82%；对个人和家庭的补助149.12万元，占总支出的4.34%。</w:t>
      </w:r>
    </w:p>
    <w:p>
      <w:pPr>
        <w:pStyle w:val="4"/>
        <w:numPr>
          <w:ilvl w:val="0"/>
          <w:numId w:val="0"/>
        </w:numPr>
        <w:spacing w:line="600" w:lineRule="exact"/>
        <w:ind w:left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（二）</w:t>
      </w: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4"/>
        <w:spacing w:line="600" w:lineRule="exact"/>
        <w:ind w:firstLine="643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2023年我局项目支出1093.85万元，其中，商品和服务支出769.62万元，占总支出70.36%；资本性支出289.73，占总支出26.49%；对企业补助34.5万元，占总支出3.15%。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4"/>
        <w:spacing w:line="600" w:lineRule="exact"/>
        <w:ind w:firstLine="643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2023年我局收到政府性基金预算财政拨款60万元，其中，商品和服务支出52.02万元，占总支出86.7%；资本性支出7.98万元，占总支出13.3%。</w:t>
      </w:r>
    </w:p>
    <w:p>
      <w:pPr>
        <w:pStyle w:val="4"/>
        <w:numPr>
          <w:ilvl w:val="0"/>
          <w:numId w:val="3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无。</w:t>
      </w:r>
    </w:p>
    <w:p>
      <w:pPr>
        <w:pStyle w:val="4"/>
        <w:numPr>
          <w:ilvl w:val="0"/>
          <w:numId w:val="3"/>
        </w:numPr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部门整体支出绩效情况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（一）整体支出情况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我局主要负责市场综合监督管理；负责市场主体统一登记注册；负责市场监督综合执法工作；负责权限内反垄断统一执法；负责监督管理市场秩序；负责宏观质量管理；负责产品质量安全监督管理；负责特种设备安全监督管理；负责食品安全监督管理综合协调；负责食品安全监督管理；负责统一管理计量工作；负责统一管理标准化工作；负责统一管理检验检测工作；负责统一管理、监督和综合协调全市认证认可工作；负责实施知识产权战略，推进知识产权强市建设；负责组织开展有关商品和服务领域消费维权工作；负责保护知识产权；负责知识产权创造运用；负责组织开展有关商品和服务领域消费维权工作；负责权限内药品、医疗器械、化妆品安全监督管理；负责权限内药品、医疗器械、化妆品标准管理和质量管理；负责权限内药品、医疗器械、化妆品上市后风险管理；负责全市市场监督管理部门承担的药品、医疗器械、化妆品有关监督管理工作。为了更好地履行职能，保障市场经济秩序，我局以项目建设为核心，以绩效评价为资金分配的依据，建立了《项目及专项资金管理制度》，规范了各项目及专项资金的申报、使用和验收评价等环节，保证项目的顺利实施。2023年初我局按照各项目年初目标制定了绩效指标，并在2023年7月进行了绩效监控，确保各项目指标能按时完成。</w:t>
      </w:r>
    </w:p>
    <w:p>
      <w:pPr>
        <w:pStyle w:val="4"/>
        <w:numPr>
          <w:ilvl w:val="0"/>
          <w:numId w:val="0"/>
        </w:numPr>
        <w:spacing w:line="600" w:lineRule="exact"/>
        <w:ind w:leftChars="200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（二）指标完成情况分析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ascii="楷体" w:hAnsi="楷体" w:eastAsia="楷体"/>
          <w:sz w:val="32"/>
          <w:szCs w:val="32"/>
        </w:rPr>
        <w:t>1</w:t>
      </w:r>
      <w:r>
        <w:rPr>
          <w:rFonts w:hint="eastAsia" w:ascii="楷体" w:hAnsi="楷体" w:eastAsia="楷体"/>
          <w:sz w:val="32"/>
          <w:szCs w:val="32"/>
        </w:rPr>
        <w:t>．</w:t>
      </w:r>
      <w:r>
        <w:rPr>
          <w:rFonts w:ascii="楷体" w:hAnsi="楷体" w:eastAsia="楷体"/>
          <w:sz w:val="32"/>
          <w:szCs w:val="32"/>
        </w:rPr>
        <w:t>产出指标完成情况分析</w:t>
      </w:r>
    </w:p>
    <w:p>
      <w:pPr>
        <w:pStyle w:val="4"/>
        <w:numPr>
          <w:ilvl w:val="0"/>
          <w:numId w:val="4"/>
        </w:numPr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数量指标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指标1：查处假冒伪劣质量违法案件20件，实际完成21件，完成率100%。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指标2：区域内备案的免费强检计量器具受检数量2800台/件，实际完成3021台/件，完成率100%。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指标3：高价值发明专利新增数量10个，实际完成14个，完成率100%。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指标4：12315平台受理投诉举报次数1000次，实际完成1407，完成率100%。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指标5：监督抽检批次数1400批次，实际完成1402批次，完成率100%。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指标6：规范产品合格证工作≥109家，实际完成109家，完成率100%。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指标7：开展制止餐饮浪费、酒类、食品添加剂、肉制品、包装饮用水、大米等专项行动≥6项，实际完成6项，完成率100%。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指标8：组织召开省级食品安全示范创建工作推进会4次，实际完成4次，完成率100%。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指标9：监督抽查特种设备使用单位数量317家，实际完成317家，完成率100%。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指标10：购买设备数量≥15台，实际购买18台，实际完成率100%。</w:t>
      </w:r>
    </w:p>
    <w:p>
      <w:pPr>
        <w:pStyle w:val="4"/>
        <w:numPr>
          <w:ilvl w:val="0"/>
          <w:numId w:val="4"/>
        </w:numPr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质量指标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指标1：各项任务完成率100%，2023年我局各项任务均按质按量完成，完成率100%。</w:t>
      </w:r>
    </w:p>
    <w:p>
      <w:pPr>
        <w:pStyle w:val="4"/>
        <w:numPr>
          <w:ilvl w:val="0"/>
          <w:numId w:val="4"/>
        </w:numPr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时效指标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指标1：任务均已在2023年12月31日前完成。</w:t>
      </w:r>
    </w:p>
    <w:p>
      <w:pPr>
        <w:numPr>
          <w:ilvl w:val="0"/>
          <w:numId w:val="5"/>
        </w:numPr>
        <w:adjustRightInd w:val="0"/>
        <w:snapToGrid w:val="0"/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效益指标完成情况分析</w:t>
      </w:r>
    </w:p>
    <w:p>
      <w:pPr>
        <w:pStyle w:val="4"/>
        <w:numPr>
          <w:ilvl w:val="0"/>
          <w:numId w:val="6"/>
        </w:numPr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社会效益指标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指标1：全市未发生特大、较大食品安全、质量安全事故。</w:t>
      </w:r>
    </w:p>
    <w:p>
      <w:pPr>
        <w:pStyle w:val="4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指标2：辖区内市场监管总体水平逐步提高，通过组织培训等方式逐步提升执法人员执法能力，提高市场监管总体水平。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3.满意度指标</w:t>
      </w:r>
      <w:r>
        <w:rPr>
          <w:rFonts w:ascii="楷体" w:hAnsi="楷体" w:eastAsia="楷体"/>
          <w:sz w:val="32"/>
          <w:szCs w:val="32"/>
        </w:rPr>
        <w:t>完成情况分析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以专项整治为抓手，深入开展“护苗”、“护老”、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“网剑”、“三小”食品、农村假冒伪劣食品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等专项整治行动，为群众保驾护航，并适时在微信公众号上发布消费警示等方式，辖区内群众对市场安全现状比较满意。</w:t>
      </w:r>
    </w:p>
    <w:p>
      <w:pPr>
        <w:pStyle w:val="4"/>
        <w:numPr>
          <w:ilvl w:val="0"/>
          <w:numId w:val="7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析</w:t>
      </w:r>
    </w:p>
    <w:p>
      <w:pPr>
        <w:spacing w:line="600" w:lineRule="exact"/>
        <w:ind w:firstLine="627" w:firstLineChars="196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2023年我局绩效指标均已完成，未偏离绩效目标。</w:t>
      </w:r>
    </w:p>
    <w:p>
      <w:pPr>
        <w:numPr>
          <w:ilvl w:val="0"/>
          <w:numId w:val="7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spacing w:line="600" w:lineRule="exact"/>
        <w:ind w:firstLine="627" w:firstLineChars="196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总结2023年绩效评价经验，不断加强各业务股室与财务股的联系，完善绩效指标体系。</w:t>
      </w:r>
    </w:p>
    <w:p>
      <w:pPr>
        <w:numPr>
          <w:ilvl w:val="0"/>
          <w:numId w:val="7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我局绩效评价报告会按照政府公开要求进行公开。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bidi w:val="0"/>
        <w:rPr>
          <w:rFonts w:hint="default"/>
          <w:lang w:val="en-US"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6FE73D"/>
    <w:multiLevelType w:val="singleLevel"/>
    <w:tmpl w:val="B06FE73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FDC6E6"/>
    <w:multiLevelType w:val="singleLevel"/>
    <w:tmpl w:val="BFFDC6E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9B38C00"/>
    <w:multiLevelType w:val="singleLevel"/>
    <w:tmpl w:val="D9B38C00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BFD0F1B"/>
    <w:multiLevelType w:val="singleLevel"/>
    <w:tmpl w:val="FBFD0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2502FB1"/>
    <w:multiLevelType w:val="singleLevel"/>
    <w:tmpl w:val="02502F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4BC7FB9D"/>
    <w:multiLevelType w:val="singleLevel"/>
    <w:tmpl w:val="4BC7FB9D"/>
    <w:lvl w:ilvl="0" w:tentative="0">
      <w:start w:val="2"/>
      <w:numFmt w:val="decimal"/>
      <w:suff w:val="nothing"/>
      <w:lvlText w:val="%1．"/>
      <w:lvlJc w:val="left"/>
    </w:lvl>
  </w:abstractNum>
  <w:abstractNum w:abstractNumId="6">
    <w:nsid w:val="6A2AF8A1"/>
    <w:multiLevelType w:val="singleLevel"/>
    <w:tmpl w:val="6A2AF8A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NmIyMmJkMDY1NWM0NTBhNjRkYzc5OThlNWVlZmUifQ=="/>
  </w:docVars>
  <w:rsids>
    <w:rsidRoot w:val="46CB62D8"/>
    <w:rsid w:val="370A6208"/>
    <w:rsid w:val="46CB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2024-05-16T08:05:00Z</dcterms:created>
  <dc:creator>雯</dc:creator>
  <cp:lastModifiedBy>雯</cp:lastModifiedBy>
  <dcterms:modified xsi:type="dcterms:W3CDTF">2024-06-19T08:51:00Z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12A42729AFC1447D940C3F386D121F91_11</vt:lpwstr>
  </property>
</Properties>
</file>