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D1794">
      <w:pPr>
        <w:widowControl/>
        <w:jc w:val="left"/>
        <w:rPr>
          <w:rFonts w:ascii="Calibri" w:hAnsi="Calibri" w:eastAsia="黑体" w:cs="Times New Roman"/>
          <w:kern w:val="0"/>
          <w:sz w:val="32"/>
          <w:szCs w:val="32"/>
        </w:rPr>
      </w:pPr>
      <w:r>
        <w:rPr>
          <w:rFonts w:ascii="Calibri" w:hAnsi="Calibri" w:eastAsia="黑体" w:cs="Times New Roman"/>
          <w:kern w:val="0"/>
          <w:sz w:val="32"/>
          <w:szCs w:val="32"/>
        </w:rPr>
        <w:t>附件1-1</w:t>
      </w:r>
    </w:p>
    <w:p w14:paraId="3449BB34">
      <w:pPr>
        <w:spacing w:before="312" w:beforeLines="100" w:after="312" w:afterLines="100"/>
        <w:jc w:val="center"/>
        <w:rPr>
          <w:rFonts w:hint="eastAsia" w:ascii="方正小标宋简体" w:hAnsi="黑体" w:eastAsia="方正小标宋简体" w:cs="Times New Roman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Times New Roman"/>
          <w:bCs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hAnsi="黑体" w:eastAsia="方正小标宋简体" w:cs="Times New Roman"/>
          <w:bCs/>
          <w:kern w:val="0"/>
          <w:sz w:val="36"/>
          <w:szCs w:val="36"/>
        </w:rPr>
        <w:t>年部门整体支出绩效目标表</w:t>
      </w:r>
    </w:p>
    <w:p w14:paraId="09CD576B">
      <w:pPr>
        <w:widowControl/>
        <w:tabs>
          <w:tab w:val="left" w:pos="2593"/>
        </w:tabs>
        <w:jc w:val="left"/>
        <w:rPr>
          <w:rFonts w:hint="eastAsia" w:ascii="仿宋_GB2312" w:hAnsi="Calibri" w:eastAsia="仿宋_GB2312" w:cs="Times New Roman"/>
          <w:kern w:val="0"/>
          <w:sz w:val="21"/>
          <w:szCs w:val="21"/>
        </w:rPr>
      </w:pPr>
      <w:r>
        <w:rPr>
          <w:rFonts w:hint="eastAsia" w:ascii="仿宋_GB2312" w:hAnsi="Calibri" w:eastAsia="仿宋_GB2312" w:cs="Times New Roman"/>
          <w:kern w:val="0"/>
          <w:sz w:val="24"/>
          <w:szCs w:val="21"/>
        </w:rPr>
        <w:t>填报单位：</w:t>
      </w:r>
      <w:r>
        <w:rPr>
          <w:rFonts w:hint="eastAsia" w:hAnsi="Calibri" w:cs="Times New Roman"/>
          <w:kern w:val="0"/>
          <w:sz w:val="24"/>
          <w:szCs w:val="21"/>
          <w:lang w:val="en-US" w:eastAsia="zh-CN"/>
        </w:rPr>
        <w:t>沅江市公安局</w:t>
      </w:r>
      <w:bookmarkStart w:id="0" w:name="_GoBack"/>
      <w:bookmarkEnd w:id="0"/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ab/>
      </w:r>
    </w:p>
    <w:tbl>
      <w:tblPr>
        <w:tblStyle w:val="2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 w14:paraId="47D1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noWrap w:val="0"/>
            <w:vAlign w:val="center"/>
          </w:tcPr>
          <w:p w14:paraId="2A993330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部门名称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 w14:paraId="4B15775E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 w14:paraId="259E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 w14:paraId="562D79AB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年度预算申请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 w14:paraId="431BBD64">
            <w:pPr>
              <w:widowControl/>
              <w:jc w:val="left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资金总额：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8859.36</w:t>
            </w:r>
          </w:p>
        </w:tc>
      </w:tr>
      <w:tr w14:paraId="13C5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64B6BB9E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 w14:paraId="7811822B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按收入性质分：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 w14:paraId="4E51C1F0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按支出性质分：</w:t>
            </w:r>
          </w:p>
        </w:tc>
      </w:tr>
      <w:tr w14:paraId="62C1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20AB6C47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 w14:paraId="7ED976F4">
            <w:pPr>
              <w:widowControl/>
              <w:jc w:val="left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其中：一般公共预算：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8859.36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 w14:paraId="7DD2D417">
            <w:pPr>
              <w:widowControl/>
              <w:jc w:val="left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其中：基本支出：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6186.36</w:t>
            </w:r>
          </w:p>
        </w:tc>
      </w:tr>
      <w:tr w14:paraId="3E49F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5B51D6CD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 w14:paraId="7F2A93EB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政府性基金拨款：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 w14:paraId="6C497359">
            <w:pPr>
              <w:widowControl/>
              <w:jc w:val="left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项目支出：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2673</w:t>
            </w:r>
          </w:p>
        </w:tc>
      </w:tr>
      <w:tr w14:paraId="1A76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78950BE1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 w14:paraId="5DF60FFD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纳入专户管理的非税收入拨款：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 w14:paraId="32330EAB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3BD1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4B187E06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 w14:paraId="6F59BADE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其他资金：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 w14:paraId="3C46B3AF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</w:tr>
      <w:tr w14:paraId="20E5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61" w:type="dxa"/>
            <w:noWrap w:val="0"/>
            <w:vAlign w:val="center"/>
          </w:tcPr>
          <w:p w14:paraId="510E27D8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部门职能</w:t>
            </w:r>
          </w:p>
          <w:p w14:paraId="7E026549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职责概述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 w14:paraId="20BE5C2F">
            <w:pPr>
              <w:widowControl/>
              <w:jc w:val="left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贯彻执行公安工作的方针、政策、法律、法规、规章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及时接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处警各类案件，确保沅江市社会治安平稳可控,提高沅江人民的安全感、幸福感。</w:t>
            </w:r>
          </w:p>
        </w:tc>
      </w:tr>
      <w:tr w14:paraId="6051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noWrap w:val="0"/>
            <w:vAlign w:val="center"/>
          </w:tcPr>
          <w:p w14:paraId="0F5C8B88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整体绩效目标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 w14:paraId="04C80366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贯彻执行公安工作的方针、政策、法律、法规、规章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及时接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处警各类案件，确保沅江市社会治安平稳可控,提高沅江人民的安全感、幸福感。</w:t>
            </w:r>
          </w:p>
        </w:tc>
      </w:tr>
      <w:tr w14:paraId="1995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 w14:paraId="0ED6A591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部门整体支出</w:t>
            </w:r>
          </w:p>
          <w:p w14:paraId="644F68DF"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年度绩效指标</w:t>
            </w:r>
          </w:p>
        </w:tc>
        <w:tc>
          <w:tcPr>
            <w:tcW w:w="1147" w:type="dxa"/>
            <w:noWrap w:val="0"/>
            <w:vAlign w:val="center"/>
          </w:tcPr>
          <w:p w14:paraId="6FF4CB04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843" w:type="dxa"/>
            <w:noWrap w:val="0"/>
            <w:vAlign w:val="center"/>
          </w:tcPr>
          <w:p w14:paraId="764F64AD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 w14:paraId="29BDD13A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629" w:type="dxa"/>
            <w:noWrap w:val="0"/>
            <w:vAlign w:val="center"/>
          </w:tcPr>
          <w:p w14:paraId="20693851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指标值及单位</w:t>
            </w:r>
          </w:p>
        </w:tc>
      </w:tr>
      <w:tr w14:paraId="4D7A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2E2EC4A4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noWrap w:val="0"/>
            <w:vAlign w:val="center"/>
          </w:tcPr>
          <w:p w14:paraId="6C9AE6D0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 w14:paraId="35CE0FE1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 w14:paraId="2A8F360B">
            <w:pPr>
              <w:widowControl/>
              <w:jc w:val="left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日常巡逻出突</w:t>
            </w:r>
          </w:p>
        </w:tc>
        <w:tc>
          <w:tcPr>
            <w:tcW w:w="2629" w:type="dxa"/>
            <w:noWrap w:val="0"/>
            <w:vAlign w:val="center"/>
          </w:tcPr>
          <w:p w14:paraId="09A2225E">
            <w:pPr>
              <w:widowControl/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每天（全局）</w:t>
            </w:r>
          </w:p>
        </w:tc>
      </w:tr>
      <w:tr w14:paraId="72A8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2BABB5B3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 w14:paraId="6F5BED88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329490BA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 w14:paraId="10392192">
            <w:pPr>
              <w:widowControl/>
              <w:jc w:val="left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电诈类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办结率</w:t>
            </w:r>
          </w:p>
        </w:tc>
        <w:tc>
          <w:tcPr>
            <w:tcW w:w="2629" w:type="dxa"/>
            <w:noWrap w:val="0"/>
            <w:vAlign w:val="center"/>
          </w:tcPr>
          <w:p w14:paraId="7468B649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≧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  <w:tr w14:paraId="653D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1AC013C5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 w14:paraId="69FBFB73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124F047A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 w14:paraId="12844F17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刑事案件破案率</w:t>
            </w:r>
          </w:p>
        </w:tc>
        <w:tc>
          <w:tcPr>
            <w:tcW w:w="2629" w:type="dxa"/>
            <w:noWrap w:val="0"/>
            <w:vAlign w:val="center"/>
          </w:tcPr>
          <w:p w14:paraId="28E2E145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≧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95%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  <w:tr w14:paraId="78BB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400BB787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 w14:paraId="643D07C5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2961B97A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 w14:paraId="1F83FFBC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涉恶案件破案率</w:t>
            </w:r>
          </w:p>
        </w:tc>
        <w:tc>
          <w:tcPr>
            <w:tcW w:w="2629" w:type="dxa"/>
            <w:noWrap w:val="0"/>
            <w:vAlign w:val="center"/>
          </w:tcPr>
          <w:p w14:paraId="797F4CA1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≧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98%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  <w:tr w14:paraId="7AF9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44ACA959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 w14:paraId="0601794E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4E5B30B9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 w14:paraId="01312380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2629" w:type="dxa"/>
            <w:noWrap w:val="0"/>
            <w:vAlign w:val="center"/>
          </w:tcPr>
          <w:p w14:paraId="47F45F18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≦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  <w:tr w14:paraId="184E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58DD3F4D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 w14:paraId="3BA59DC1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604BA32B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 w14:paraId="7199A0BE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各类案件承办时间</w:t>
            </w:r>
          </w:p>
        </w:tc>
        <w:tc>
          <w:tcPr>
            <w:tcW w:w="2629" w:type="dxa"/>
            <w:noWrap w:val="0"/>
            <w:vAlign w:val="center"/>
          </w:tcPr>
          <w:p w14:paraId="664900D6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不超标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  <w:tr w14:paraId="76FF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60BFF7A6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 w14:paraId="695AC794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2C34915C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 w14:paraId="026ACC77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办案成本</w:t>
            </w:r>
          </w:p>
        </w:tc>
        <w:tc>
          <w:tcPr>
            <w:tcW w:w="2629" w:type="dxa"/>
            <w:noWrap w:val="0"/>
            <w:vAlign w:val="center"/>
          </w:tcPr>
          <w:p w14:paraId="71CDEEDC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≦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30%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  <w:tr w14:paraId="49513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116A1971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 w14:paraId="144FF6FC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597C9C46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 w14:paraId="38A38D3F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扫黑除恶专项经费</w:t>
            </w:r>
          </w:p>
        </w:tc>
        <w:tc>
          <w:tcPr>
            <w:tcW w:w="2629" w:type="dxa"/>
            <w:noWrap w:val="0"/>
            <w:vAlign w:val="center"/>
          </w:tcPr>
          <w:p w14:paraId="6B103948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≦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30万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  <w:tr w14:paraId="60F5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35ECA7B1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noWrap w:val="0"/>
            <w:vAlign w:val="center"/>
          </w:tcPr>
          <w:p w14:paraId="592842AA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 w14:paraId="64672CE6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 w14:paraId="0BB4A81C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取得非税罚没收入</w:t>
            </w:r>
          </w:p>
        </w:tc>
        <w:tc>
          <w:tcPr>
            <w:tcW w:w="2629" w:type="dxa"/>
            <w:noWrap w:val="0"/>
            <w:vAlign w:val="center"/>
          </w:tcPr>
          <w:p w14:paraId="6E6D6387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770万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  <w:tr w14:paraId="3BDA4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7A337C8B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 w14:paraId="3A850098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25CBCCD7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 w14:paraId="10F74E1A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2629" w:type="dxa"/>
            <w:noWrap w:val="0"/>
            <w:vAlign w:val="center"/>
          </w:tcPr>
          <w:p w14:paraId="6201D010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无预算不开支，追加预算走程序（全局）</w:t>
            </w:r>
          </w:p>
        </w:tc>
      </w:tr>
      <w:tr w14:paraId="38D5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2D5D37EA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 w14:paraId="1742C926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2F1318CE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 w14:paraId="7A9D3F4F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为公众追回被诈骗财务次数</w:t>
            </w:r>
          </w:p>
        </w:tc>
        <w:tc>
          <w:tcPr>
            <w:tcW w:w="2629" w:type="dxa"/>
            <w:noWrap w:val="0"/>
            <w:vAlign w:val="center"/>
          </w:tcPr>
          <w:p w14:paraId="553B0A9E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　4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  <w:tr w14:paraId="70335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5AC9357A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 w14:paraId="0C764698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35E9686D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 w14:paraId="7E1D9162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对社会公众开展安全宣传次数</w:t>
            </w:r>
          </w:p>
        </w:tc>
        <w:tc>
          <w:tcPr>
            <w:tcW w:w="2629" w:type="dxa"/>
            <w:noWrap w:val="0"/>
            <w:vAlign w:val="center"/>
          </w:tcPr>
          <w:p w14:paraId="379C6FD1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　4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  <w:tr w14:paraId="76BA4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7255FDEA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 w14:paraId="19FE991F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4204DCA2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 w14:paraId="327AD36F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非法捕捞类案件侦办数</w:t>
            </w:r>
          </w:p>
        </w:tc>
        <w:tc>
          <w:tcPr>
            <w:tcW w:w="2629" w:type="dxa"/>
            <w:noWrap w:val="0"/>
            <w:vAlign w:val="center"/>
          </w:tcPr>
          <w:p w14:paraId="0105C331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起（全局）</w:t>
            </w:r>
          </w:p>
        </w:tc>
      </w:tr>
      <w:tr w14:paraId="5E36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2105D1B0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 w14:paraId="388146AD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23BC07F5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 w14:paraId="37B4D001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禁捕退捕巡逻</w:t>
            </w:r>
          </w:p>
        </w:tc>
        <w:tc>
          <w:tcPr>
            <w:tcW w:w="2629" w:type="dxa"/>
            <w:noWrap w:val="0"/>
            <w:vAlign w:val="center"/>
          </w:tcPr>
          <w:p w14:paraId="3C05C942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常态化（全局）</w:t>
            </w:r>
          </w:p>
        </w:tc>
      </w:tr>
      <w:tr w14:paraId="6571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64EAD300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 w14:paraId="244EA4BA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4D48C7F8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 w14:paraId="5AEE0D16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加大办案力度，震慑潜在犯罪对象</w:t>
            </w:r>
          </w:p>
        </w:tc>
        <w:tc>
          <w:tcPr>
            <w:tcW w:w="2629" w:type="dxa"/>
            <w:noWrap w:val="0"/>
            <w:vAlign w:val="center"/>
          </w:tcPr>
          <w:p w14:paraId="71751088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长期（全局）</w:t>
            </w:r>
          </w:p>
        </w:tc>
      </w:tr>
      <w:tr w14:paraId="618B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716EAD56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 w14:paraId="1CDF7657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39C4F595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 w14:paraId="5DF8320B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加大安全宣讲力度，提高群众自保能力</w:t>
            </w:r>
          </w:p>
        </w:tc>
        <w:tc>
          <w:tcPr>
            <w:tcW w:w="2629" w:type="dxa"/>
            <w:noWrap w:val="0"/>
            <w:vAlign w:val="center"/>
          </w:tcPr>
          <w:p w14:paraId="75FAC0EA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长期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  <w:tr w14:paraId="0531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5ADA81C0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 w14:paraId="6420448D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3224673D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社会公众或服务对象满意度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 w14:paraId="303D098C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社会大众对公安工作满意度</w:t>
            </w:r>
          </w:p>
        </w:tc>
        <w:tc>
          <w:tcPr>
            <w:tcW w:w="2629" w:type="dxa"/>
            <w:noWrap w:val="0"/>
            <w:vAlign w:val="center"/>
          </w:tcPr>
          <w:p w14:paraId="07A2EEFD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≧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90%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  <w:tr w14:paraId="2522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095826CA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 w14:paraId="53169C6C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43D49AB8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 w14:paraId="01D37FF9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报警对象对警务工作满意度</w:t>
            </w:r>
          </w:p>
        </w:tc>
        <w:tc>
          <w:tcPr>
            <w:tcW w:w="2629" w:type="dxa"/>
            <w:noWrap w:val="0"/>
            <w:vAlign w:val="center"/>
          </w:tcPr>
          <w:p w14:paraId="70866DC3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≧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90%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</w:tbl>
    <w:p w14:paraId="4328C220">
      <w:pPr>
        <w:widowControl/>
        <w:jc w:val="left"/>
        <w:rPr>
          <w:rFonts w:hint="eastAsia" w:ascii="仿宋_GB2312" w:hAnsi="Calibri" w:eastAsia="仿宋_GB2312" w:cs="Times New Roman"/>
          <w:kern w:val="0"/>
          <w:sz w:val="21"/>
          <w:szCs w:val="21"/>
        </w:rPr>
      </w:pPr>
    </w:p>
    <w:p w14:paraId="6FD129D0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2U2NGFhNTNkMzI0YzJjZWI5MTMwMmZhYjg2M2IifQ=="/>
  </w:docVars>
  <w:rsids>
    <w:rsidRoot w:val="6BE03945"/>
    <w:rsid w:val="1D615931"/>
    <w:rsid w:val="2181419D"/>
    <w:rsid w:val="2B5F6168"/>
    <w:rsid w:val="2F9E416C"/>
    <w:rsid w:val="32285C55"/>
    <w:rsid w:val="42126FCD"/>
    <w:rsid w:val="49A447B0"/>
    <w:rsid w:val="4DB1015B"/>
    <w:rsid w:val="53E43F94"/>
    <w:rsid w:val="641E605D"/>
    <w:rsid w:val="68093B71"/>
    <w:rsid w:val="6BE03945"/>
    <w:rsid w:val="7A70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690</Characters>
  <Lines>0</Lines>
  <Paragraphs>0</Paragraphs>
  <TotalTime>2</TotalTime>
  <ScaleCrop>false</ScaleCrop>
  <LinksUpToDate>false</LinksUpToDate>
  <CharactersWithSpaces>693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Administrator</cp:lastModifiedBy>
  <dcterms:modified xsi:type="dcterms:W3CDTF">2024-09-13T01:17:04Z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F3CFE78D1E0744629A26DD6F1D678045_13</vt:lpwstr>
  </property>
</Properties>
</file>