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44"/>
          <w:szCs w:val="44"/>
        </w:rPr>
      </w:pPr>
      <w:r>
        <w:rPr>
          <w:rFonts w:eastAsia="方正小标宋简体"/>
          <w:sz w:val="44"/>
          <w:szCs w:val="44"/>
        </w:rPr>
        <w:t>信访局</w:t>
      </w:r>
      <w:r>
        <w:rPr>
          <w:rFonts w:hint="eastAsia" w:eastAsia="方正小标宋简体"/>
          <w:sz w:val="44"/>
          <w:szCs w:val="44"/>
        </w:rPr>
        <w:t>部门整体</w:t>
      </w:r>
      <w:r>
        <w:rPr>
          <w:rFonts w:eastAsia="方正小标宋简体"/>
          <w:sz w:val="44"/>
          <w:szCs w:val="44"/>
        </w:rPr>
        <w:t>支出绩效指标表</w:t>
      </w:r>
    </w:p>
    <w:tbl>
      <w:tblPr>
        <w:tblStyle w:val="6"/>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403"/>
        <w:gridCol w:w="1731"/>
        <w:gridCol w:w="304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014" w:type="dxa"/>
            <w:vAlign w:val="center"/>
          </w:tcPr>
          <w:p>
            <w:pPr>
              <w:spacing w:line="320" w:lineRule="exact"/>
              <w:jc w:val="center"/>
              <w:rPr>
                <w:rFonts w:ascii="宋体" w:hAnsi="宋体" w:cs="宋体"/>
                <w:kern w:val="0"/>
                <w:sz w:val="24"/>
              </w:rPr>
            </w:pPr>
            <w:r>
              <w:rPr>
                <w:rFonts w:hint="eastAsia" w:ascii="宋体" w:hAnsi="宋体" w:cs="宋体"/>
                <w:kern w:val="0"/>
                <w:sz w:val="24"/>
              </w:rPr>
              <w:t>整体绩效目标</w:t>
            </w:r>
          </w:p>
        </w:tc>
        <w:tc>
          <w:tcPr>
            <w:tcW w:w="8040" w:type="dxa"/>
            <w:gridSpan w:val="4"/>
            <w:vAlign w:val="center"/>
          </w:tcPr>
          <w:p>
            <w:pPr>
              <w:spacing w:line="320" w:lineRule="exact"/>
              <w:ind w:firstLine="480" w:firstLineChars="200"/>
              <w:rPr>
                <w:rFonts w:ascii="仿宋" w:hAnsi="仿宋" w:eastAsia="仿宋" w:cs="仿宋"/>
                <w:kern w:val="0"/>
                <w:sz w:val="24"/>
              </w:rPr>
            </w:pPr>
            <w:r>
              <w:rPr>
                <w:rFonts w:hint="eastAsia" w:ascii="仿宋" w:hAnsi="仿宋" w:eastAsia="仿宋" w:cs="仿宋"/>
                <w:kern w:val="0"/>
                <w:sz w:val="24"/>
              </w:rPr>
              <w:t>在今年收支预算内，确保完成以下整体目标：1、保障我局正常工作运转经费开支以及在职和退休工作人员的工资福利待遇；2、进一步夯实基层基础建设，加强矛盾纠纷和信访隐患排查，提高基层初信初访办结率和办结质量，继续推进信访工作“三无”县（市、区）创建活动；</w:t>
            </w:r>
            <w:r>
              <w:rPr>
                <w:rFonts w:hint="eastAsia" w:ascii="仿宋" w:hAnsi="仿宋" w:eastAsia="仿宋" w:cs="仿宋"/>
                <w:bCs/>
                <w:kern w:val="0"/>
                <w:sz w:val="24"/>
              </w:rPr>
              <w:t>3、继续打好信访矛盾化解攻坚战，深入开展重复信访越级访集中整治专项行动、依法做好特护期信访稳定工作；4、</w:t>
            </w:r>
            <w:r>
              <w:rPr>
                <w:rFonts w:hint="eastAsia" w:ascii="仿宋" w:hAnsi="仿宋" w:eastAsia="仿宋" w:cs="仿宋"/>
                <w:kern w:val="0"/>
                <w:sz w:val="24"/>
              </w:rPr>
              <w:t>不断推进信访法治化建设和提升信访工作信息化水平，健全信访工作长效机制。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4" w:type="dxa"/>
            <w:vMerge w:val="restart"/>
            <w:vAlign w:val="center"/>
          </w:tcPr>
          <w:p>
            <w:pPr>
              <w:spacing w:line="320" w:lineRule="exact"/>
              <w:jc w:val="center"/>
              <w:rPr>
                <w:rFonts w:ascii="宋体" w:hAnsi="宋体" w:cs="宋体"/>
                <w:kern w:val="0"/>
                <w:sz w:val="24"/>
              </w:rPr>
            </w:pPr>
            <w:r>
              <w:rPr>
                <w:rFonts w:hint="eastAsia" w:ascii="宋体" w:hAnsi="宋体" w:cs="宋体"/>
                <w:kern w:val="0"/>
                <w:sz w:val="24"/>
              </w:rPr>
              <w:t>绩效</w:t>
            </w:r>
          </w:p>
          <w:p>
            <w:pPr>
              <w:spacing w:line="320" w:lineRule="exact"/>
              <w:jc w:val="center"/>
              <w:rPr>
                <w:rFonts w:ascii="宋体" w:hAnsi="宋体" w:cs="宋体"/>
                <w:kern w:val="0"/>
                <w:sz w:val="24"/>
              </w:rPr>
            </w:pPr>
            <w:r>
              <w:rPr>
                <w:rFonts w:hint="eastAsia" w:ascii="宋体" w:hAnsi="宋体" w:cs="宋体"/>
                <w:kern w:val="0"/>
                <w:sz w:val="24"/>
              </w:rPr>
              <w:t>指标</w:t>
            </w:r>
          </w:p>
        </w:tc>
        <w:tc>
          <w:tcPr>
            <w:tcW w:w="1403" w:type="dxa"/>
            <w:vAlign w:val="center"/>
          </w:tcPr>
          <w:p>
            <w:pPr>
              <w:spacing w:line="320" w:lineRule="exact"/>
              <w:jc w:val="center"/>
              <w:rPr>
                <w:rFonts w:ascii="宋体" w:hAnsi="宋体" w:cs="宋体"/>
                <w:kern w:val="0"/>
                <w:sz w:val="24"/>
              </w:rPr>
            </w:pPr>
            <w:r>
              <w:rPr>
                <w:rFonts w:hint="eastAsia" w:ascii="宋体" w:hAnsi="宋体" w:cs="宋体"/>
                <w:kern w:val="0"/>
                <w:sz w:val="24"/>
              </w:rPr>
              <w:t>一级指标</w:t>
            </w:r>
          </w:p>
        </w:tc>
        <w:tc>
          <w:tcPr>
            <w:tcW w:w="1731" w:type="dxa"/>
            <w:vAlign w:val="center"/>
          </w:tcPr>
          <w:p>
            <w:pPr>
              <w:spacing w:line="320" w:lineRule="exact"/>
              <w:jc w:val="center"/>
              <w:rPr>
                <w:rFonts w:ascii="宋体" w:hAnsi="宋体" w:cs="宋体"/>
                <w:kern w:val="0"/>
                <w:sz w:val="24"/>
              </w:rPr>
            </w:pPr>
            <w:r>
              <w:rPr>
                <w:rFonts w:hint="eastAsia" w:ascii="宋体" w:hAnsi="宋体" w:cs="宋体"/>
                <w:kern w:val="0"/>
                <w:sz w:val="24"/>
              </w:rPr>
              <w:t>二级指标</w:t>
            </w:r>
          </w:p>
        </w:tc>
        <w:tc>
          <w:tcPr>
            <w:tcW w:w="3040" w:type="dxa"/>
            <w:vAlign w:val="center"/>
          </w:tcPr>
          <w:p>
            <w:pPr>
              <w:spacing w:line="320" w:lineRule="exact"/>
              <w:jc w:val="center"/>
              <w:rPr>
                <w:rFonts w:ascii="宋体" w:hAnsi="宋体" w:cs="宋体"/>
                <w:kern w:val="0"/>
                <w:sz w:val="24"/>
              </w:rPr>
            </w:pPr>
            <w:r>
              <w:rPr>
                <w:rFonts w:hint="eastAsia" w:ascii="宋体" w:hAnsi="宋体" w:cs="宋体"/>
                <w:kern w:val="0"/>
                <w:sz w:val="24"/>
              </w:rPr>
              <w:t>三级指标</w:t>
            </w:r>
          </w:p>
        </w:tc>
        <w:tc>
          <w:tcPr>
            <w:tcW w:w="1866" w:type="dxa"/>
            <w:vAlign w:val="center"/>
          </w:tcPr>
          <w:p>
            <w:pPr>
              <w:spacing w:line="320" w:lineRule="exact"/>
              <w:jc w:val="center"/>
              <w:rPr>
                <w:rFonts w:ascii="宋体" w:hAnsi="宋体" w:cs="宋体"/>
                <w:kern w:val="0"/>
                <w:sz w:val="24"/>
              </w:rPr>
            </w:pPr>
            <w:r>
              <w:rPr>
                <w:rFonts w:hint="eastAsia" w:ascii="宋体" w:hAnsi="宋体" w:cs="宋体"/>
                <w:kern w:val="0"/>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restart"/>
            <w:vAlign w:val="center"/>
          </w:tcPr>
          <w:p>
            <w:pPr>
              <w:spacing w:line="320" w:lineRule="exact"/>
              <w:jc w:val="center"/>
              <w:rPr>
                <w:rFonts w:ascii="宋体" w:hAnsi="宋体" w:cs="宋体"/>
                <w:kern w:val="0"/>
                <w:sz w:val="24"/>
              </w:rPr>
            </w:pPr>
            <w:r>
              <w:rPr>
                <w:rFonts w:hint="eastAsia" w:ascii="宋体" w:hAnsi="宋体" w:cs="宋体"/>
                <w:kern w:val="0"/>
                <w:sz w:val="24"/>
              </w:rPr>
              <w:t>产出目标</w:t>
            </w:r>
          </w:p>
        </w:tc>
        <w:tc>
          <w:tcPr>
            <w:tcW w:w="1731"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重点工作任务完成</w:t>
            </w: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信访总量</w:t>
            </w:r>
          </w:p>
        </w:tc>
        <w:tc>
          <w:tcPr>
            <w:tcW w:w="1866" w:type="dxa"/>
            <w:vAlign w:val="center"/>
          </w:tcPr>
          <w:p>
            <w:pPr>
              <w:widowControl/>
              <w:jc w:val="center"/>
              <w:rPr>
                <w:rFonts w:ascii="仿宋" w:hAnsi="仿宋" w:cs="仿宋"/>
                <w:kern w:val="0"/>
                <w:sz w:val="24"/>
              </w:rPr>
            </w:pPr>
            <w:r>
              <w:rPr>
                <w:kern w:val="0"/>
                <w:sz w:val="24"/>
              </w:rPr>
              <w:t>≥</w:t>
            </w:r>
            <w:r>
              <w:rPr>
                <w:rFonts w:hint="eastAsia"/>
                <w:kern w:val="0"/>
                <w:sz w:val="24"/>
              </w:rPr>
              <w:t>1500件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宋体" w:hAnsi="宋体" w:cs="宋体"/>
                <w:kern w:val="0"/>
                <w:sz w:val="24"/>
              </w:rPr>
            </w:pPr>
          </w:p>
        </w:tc>
        <w:tc>
          <w:tcPr>
            <w:tcW w:w="1731" w:type="dxa"/>
            <w:vMerge w:val="continue"/>
            <w:vAlign w:val="center"/>
          </w:tcPr>
          <w:p>
            <w:pPr>
              <w:widowControl/>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来访人数</w:t>
            </w:r>
          </w:p>
        </w:tc>
        <w:tc>
          <w:tcPr>
            <w:tcW w:w="1866" w:type="dxa"/>
            <w:vAlign w:val="center"/>
          </w:tcPr>
          <w:p>
            <w:pPr>
              <w:widowControl/>
              <w:jc w:val="center"/>
              <w:rPr>
                <w:rFonts w:ascii="仿宋" w:hAnsi="仿宋" w:cs="仿宋"/>
                <w:kern w:val="0"/>
                <w:sz w:val="24"/>
              </w:rPr>
            </w:pPr>
            <w:r>
              <w:rPr>
                <w:kern w:val="0"/>
                <w:sz w:val="24"/>
              </w:rPr>
              <w:t>≥</w:t>
            </w:r>
            <w:r>
              <w:rPr>
                <w:rFonts w:hint="eastAsia"/>
                <w:kern w:val="0"/>
                <w:sz w:val="24"/>
              </w:rPr>
              <w:t>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宋体" w:hAnsi="宋体" w:cs="宋体"/>
                <w:kern w:val="0"/>
                <w:sz w:val="24"/>
              </w:rPr>
            </w:pPr>
          </w:p>
        </w:tc>
        <w:tc>
          <w:tcPr>
            <w:tcW w:w="1731" w:type="dxa"/>
            <w:vMerge w:val="continue"/>
            <w:vAlign w:val="center"/>
          </w:tcPr>
          <w:p>
            <w:pPr>
              <w:widowControl/>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网上建议，网上投诉</w:t>
            </w:r>
          </w:p>
        </w:tc>
        <w:tc>
          <w:tcPr>
            <w:tcW w:w="1866" w:type="dxa"/>
            <w:vAlign w:val="center"/>
          </w:tcPr>
          <w:p>
            <w:pPr>
              <w:widowControl/>
              <w:jc w:val="center"/>
              <w:rPr>
                <w:rFonts w:ascii="仿宋" w:hAnsi="仿宋" w:cs="仿宋"/>
                <w:kern w:val="0"/>
                <w:sz w:val="24"/>
              </w:rPr>
            </w:pPr>
            <w:r>
              <w:rPr>
                <w:kern w:val="0"/>
                <w:sz w:val="24"/>
              </w:rPr>
              <w:t>≥</w:t>
            </w:r>
            <w:r>
              <w:rPr>
                <w:rFonts w:hint="eastAsia"/>
                <w:kern w:val="0"/>
                <w:sz w:val="24"/>
              </w:rPr>
              <w:t>500条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宋体" w:hAnsi="宋体" w:cs="宋体"/>
                <w:kern w:val="0"/>
                <w:sz w:val="24"/>
              </w:rPr>
            </w:pPr>
          </w:p>
        </w:tc>
        <w:tc>
          <w:tcPr>
            <w:tcW w:w="1731" w:type="dxa"/>
            <w:vMerge w:val="continue"/>
            <w:vAlign w:val="center"/>
          </w:tcPr>
          <w:p>
            <w:pPr>
              <w:widowControl/>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0"/>
                <w:sz w:val="24"/>
              </w:rPr>
            </w:pPr>
            <w:r>
              <w:rPr>
                <w:rFonts w:ascii="仿宋" w:hAnsi="仿宋" w:eastAsia="仿宋" w:cs="仿宋"/>
                <w:kern w:val="0"/>
                <w:sz w:val="24"/>
              </w:rPr>
              <w:t>解决特殊疑难信访问题</w:t>
            </w:r>
          </w:p>
        </w:tc>
        <w:tc>
          <w:tcPr>
            <w:tcW w:w="1866" w:type="dxa"/>
            <w:vAlign w:val="center"/>
          </w:tcPr>
          <w:p>
            <w:pPr>
              <w:widowControl/>
              <w:jc w:val="center"/>
              <w:rPr>
                <w:kern w:val="0"/>
                <w:sz w:val="24"/>
              </w:rPr>
            </w:pPr>
            <w:r>
              <w:rPr>
                <w:kern w:val="0"/>
                <w:sz w:val="24"/>
              </w:rPr>
              <w:t>≥</w:t>
            </w:r>
            <w:r>
              <w:rPr>
                <w:rFonts w:hint="eastAsia"/>
                <w:kern w:val="0"/>
                <w:sz w:val="24"/>
              </w:rPr>
              <w:t>30次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宋体" w:hAnsi="宋体" w:cs="宋体"/>
                <w:kern w:val="0"/>
                <w:sz w:val="24"/>
              </w:rPr>
            </w:pPr>
          </w:p>
        </w:tc>
        <w:tc>
          <w:tcPr>
            <w:tcW w:w="1731" w:type="dxa"/>
            <w:vMerge w:val="continue"/>
            <w:vAlign w:val="center"/>
          </w:tcPr>
          <w:p>
            <w:pPr>
              <w:widowControl/>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0"/>
                <w:sz w:val="24"/>
              </w:rPr>
            </w:pPr>
            <w:r>
              <w:rPr>
                <w:rFonts w:ascii="仿宋" w:hAnsi="仿宋" w:eastAsia="仿宋" w:cs="仿宋"/>
                <w:kern w:val="0"/>
                <w:sz w:val="24"/>
              </w:rPr>
              <w:t>进京赴省到市</w:t>
            </w:r>
            <w:r>
              <w:rPr>
                <w:rFonts w:hint="eastAsia" w:ascii="仿宋" w:hAnsi="仿宋" w:eastAsia="仿宋" w:cs="仿宋"/>
                <w:kern w:val="0"/>
                <w:sz w:val="24"/>
              </w:rPr>
              <w:t>接</w:t>
            </w:r>
            <w:r>
              <w:rPr>
                <w:rFonts w:ascii="仿宋" w:hAnsi="仿宋" w:eastAsia="仿宋" w:cs="仿宋"/>
                <w:kern w:val="0"/>
                <w:sz w:val="24"/>
              </w:rPr>
              <w:t>访</w:t>
            </w:r>
            <w:r>
              <w:rPr>
                <w:rFonts w:hint="eastAsia" w:ascii="仿宋" w:hAnsi="仿宋" w:eastAsia="仿宋" w:cs="仿宋"/>
                <w:kern w:val="0"/>
                <w:sz w:val="24"/>
              </w:rPr>
              <w:t>批次人次</w:t>
            </w:r>
          </w:p>
        </w:tc>
        <w:tc>
          <w:tcPr>
            <w:tcW w:w="1866" w:type="dxa"/>
            <w:vAlign w:val="center"/>
          </w:tcPr>
          <w:p>
            <w:pPr>
              <w:widowControl/>
              <w:jc w:val="center"/>
              <w:rPr>
                <w:kern w:val="0"/>
                <w:sz w:val="24"/>
              </w:rPr>
            </w:pPr>
            <w:r>
              <w:rPr>
                <w:rFonts w:hint="eastAsia"/>
                <w:kern w:val="0"/>
                <w:sz w:val="24"/>
              </w:rPr>
              <w:t>≤7批次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宋体" w:hAnsi="宋体" w:cs="宋体"/>
                <w:kern w:val="0"/>
                <w:sz w:val="24"/>
              </w:rPr>
            </w:pPr>
          </w:p>
        </w:tc>
        <w:tc>
          <w:tcPr>
            <w:tcW w:w="1731" w:type="dxa"/>
            <w:vMerge w:val="restart"/>
            <w:vAlign w:val="center"/>
          </w:tcPr>
          <w:p>
            <w:pPr>
              <w:spacing w:line="320" w:lineRule="exact"/>
              <w:jc w:val="center"/>
              <w:rPr>
                <w:rFonts w:ascii="仿宋" w:hAnsi="仿宋" w:eastAsia="仿宋" w:cs="仿宋"/>
                <w:kern w:val="0"/>
                <w:sz w:val="24"/>
              </w:rPr>
            </w:pPr>
            <w:r>
              <w:rPr>
                <w:rFonts w:hint="eastAsia" w:ascii="仿宋" w:hAnsi="仿宋" w:eastAsia="仿宋" w:cs="仿宋"/>
                <w:kern w:val="0"/>
                <w:sz w:val="24"/>
              </w:rPr>
              <w:t>履职目标实现</w:t>
            </w:r>
          </w:p>
          <w:p>
            <w:pPr>
              <w:widowControl/>
              <w:jc w:val="center"/>
              <w:rPr>
                <w:rFonts w:ascii="仿宋" w:hAnsi="仿宋" w:eastAsia="仿宋" w:cs="仿宋"/>
                <w:kern w:val="0"/>
                <w:sz w:val="24"/>
              </w:rPr>
            </w:pPr>
            <w:r>
              <w:rPr>
                <w:rFonts w:hint="eastAsia" w:ascii="仿宋" w:hAnsi="仿宋" w:eastAsia="仿宋" w:cs="仿宋"/>
                <w:kern w:val="0"/>
                <w:sz w:val="24"/>
              </w:rPr>
              <w:t>时效指标</w:t>
            </w: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责任部门受理率</w:t>
            </w:r>
          </w:p>
        </w:tc>
        <w:tc>
          <w:tcPr>
            <w:tcW w:w="1866" w:type="dxa"/>
            <w:vAlign w:val="center"/>
          </w:tcPr>
          <w:p>
            <w:pPr>
              <w:widowControl/>
              <w:jc w:val="center"/>
              <w:textAlignment w:val="center"/>
              <w:rPr>
                <w:rFonts w:ascii="仿宋" w:hAnsi="仿宋" w:eastAsia="仿宋" w:cs="仿宋"/>
                <w:kern w:val="0"/>
                <w:sz w:val="24"/>
              </w:rPr>
            </w:pPr>
            <w:r>
              <w:rPr>
                <w:kern w:val="0"/>
                <w:sz w:val="24"/>
              </w:rPr>
              <w:t>≥</w:t>
            </w:r>
            <w:r>
              <w:rPr>
                <w:rFonts w:hint="eastAsia"/>
                <w:kern w:val="0"/>
                <w:sz w:val="24"/>
              </w:rPr>
              <w:t>100</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宋体" w:hAnsi="宋体" w:cs="宋体"/>
                <w:kern w:val="0"/>
                <w:sz w:val="24"/>
              </w:rPr>
            </w:pPr>
          </w:p>
        </w:tc>
        <w:tc>
          <w:tcPr>
            <w:tcW w:w="1731" w:type="dxa"/>
            <w:vMerge w:val="continue"/>
            <w:vAlign w:val="center"/>
          </w:tcPr>
          <w:p>
            <w:pPr>
              <w:spacing w:line="320" w:lineRule="exact"/>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2"/>
                <w:sz w:val="24"/>
              </w:rPr>
            </w:pPr>
            <w:r>
              <w:rPr>
                <w:rFonts w:hint="eastAsia" w:ascii="仿宋" w:hAnsi="仿宋" w:eastAsia="仿宋" w:cs="仿宋"/>
                <w:kern w:val="0"/>
                <w:sz w:val="24"/>
              </w:rPr>
              <w:t>信访事项及时受理率</w:t>
            </w:r>
          </w:p>
        </w:tc>
        <w:tc>
          <w:tcPr>
            <w:tcW w:w="1866" w:type="dxa"/>
            <w:vAlign w:val="center"/>
          </w:tcPr>
          <w:p>
            <w:pPr>
              <w:widowControl/>
              <w:jc w:val="center"/>
              <w:textAlignment w:val="center"/>
              <w:rPr>
                <w:rFonts w:ascii="仿宋" w:hAnsi="仿宋" w:eastAsia="仿宋" w:cs="仿宋"/>
                <w:kern w:val="0"/>
                <w:sz w:val="24"/>
              </w:rPr>
            </w:pPr>
            <w:r>
              <w:rPr>
                <w:kern w:val="0"/>
                <w:sz w:val="24"/>
              </w:rPr>
              <w:t>≥</w:t>
            </w:r>
            <w:r>
              <w:rPr>
                <w:rFonts w:hint="eastAsia"/>
                <w:kern w:val="0"/>
                <w:sz w:val="24"/>
              </w:rPr>
              <w:t>100</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宋体" w:hAnsi="宋体" w:cs="宋体"/>
                <w:kern w:val="0"/>
                <w:sz w:val="24"/>
              </w:rPr>
            </w:pPr>
          </w:p>
        </w:tc>
        <w:tc>
          <w:tcPr>
            <w:tcW w:w="1731" w:type="dxa"/>
            <w:vMerge w:val="continue"/>
            <w:vAlign w:val="center"/>
          </w:tcPr>
          <w:p>
            <w:pPr>
              <w:widowControl/>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按期办结率</w:t>
            </w:r>
          </w:p>
        </w:tc>
        <w:tc>
          <w:tcPr>
            <w:tcW w:w="1866" w:type="dxa"/>
            <w:vAlign w:val="center"/>
          </w:tcPr>
          <w:p>
            <w:pPr>
              <w:widowControl/>
              <w:jc w:val="center"/>
              <w:textAlignment w:val="center"/>
              <w:rPr>
                <w:kern w:val="0"/>
                <w:sz w:val="24"/>
              </w:rPr>
            </w:pPr>
            <w:r>
              <w:rPr>
                <w:kern w:val="0"/>
                <w:sz w:val="24"/>
              </w:rPr>
              <w:t>≥</w:t>
            </w:r>
            <w:r>
              <w:rPr>
                <w:rFonts w:hint="eastAsia"/>
                <w:kern w:val="0"/>
                <w:sz w:val="24"/>
              </w:rPr>
              <w:t>98</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restart"/>
            <w:vAlign w:val="center"/>
          </w:tcPr>
          <w:p>
            <w:pPr>
              <w:spacing w:line="320" w:lineRule="exact"/>
              <w:jc w:val="center"/>
              <w:rPr>
                <w:rFonts w:ascii="宋体" w:hAnsi="宋体" w:cs="宋体"/>
                <w:kern w:val="0"/>
                <w:sz w:val="24"/>
              </w:rPr>
            </w:pPr>
            <w:r>
              <w:rPr>
                <w:rFonts w:hint="eastAsia" w:ascii="宋体" w:hAnsi="宋体" w:cs="宋体"/>
                <w:kern w:val="0"/>
                <w:sz w:val="24"/>
              </w:rPr>
              <w:t>效益指标</w:t>
            </w:r>
          </w:p>
        </w:tc>
        <w:tc>
          <w:tcPr>
            <w:tcW w:w="1731" w:type="dxa"/>
            <w:vMerge w:val="restart"/>
            <w:vAlign w:val="center"/>
          </w:tcPr>
          <w:p>
            <w:pPr>
              <w:widowControl/>
              <w:jc w:val="center"/>
              <w:rPr>
                <w:rFonts w:ascii="仿宋" w:hAnsi="仿宋" w:eastAsia="仿宋" w:cs="仿宋"/>
                <w:kern w:val="0"/>
                <w:sz w:val="24"/>
              </w:rPr>
            </w:pPr>
            <w:r>
              <w:rPr>
                <w:rFonts w:hint="eastAsia" w:ascii="仿宋" w:hAnsi="仿宋" w:eastAsia="仿宋" w:cs="仿宋"/>
                <w:kern w:val="0"/>
                <w:sz w:val="24"/>
              </w:rPr>
              <w:t>履职效益</w:t>
            </w: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突出矛盾攻坚，积极创建信访“三无”</w:t>
            </w:r>
            <w:r>
              <w:rPr>
                <w:rFonts w:hint="eastAsia" w:ascii="仿宋" w:hAnsi="仿宋" w:eastAsia="仿宋" w:cs="仿宋"/>
                <w:kern w:val="0"/>
                <w:sz w:val="24"/>
                <w:lang w:eastAsia="zh-CN"/>
              </w:rPr>
              <w:t>示范</w:t>
            </w:r>
            <w:r>
              <w:rPr>
                <w:rFonts w:hint="eastAsia" w:ascii="仿宋" w:hAnsi="仿宋" w:eastAsia="仿宋" w:cs="仿宋"/>
                <w:kern w:val="0"/>
                <w:sz w:val="24"/>
              </w:rPr>
              <w:t>县市区</w:t>
            </w:r>
          </w:p>
        </w:tc>
        <w:tc>
          <w:tcPr>
            <w:tcW w:w="1866"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有积极作用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仿宋" w:hAnsi="仿宋" w:eastAsia="仿宋" w:cs="仿宋"/>
                <w:kern w:val="0"/>
                <w:sz w:val="24"/>
              </w:rPr>
            </w:pPr>
          </w:p>
        </w:tc>
        <w:tc>
          <w:tcPr>
            <w:tcW w:w="1731" w:type="dxa"/>
            <w:vMerge w:val="continue"/>
            <w:vAlign w:val="center"/>
          </w:tcPr>
          <w:p>
            <w:pPr>
              <w:spacing w:line="320" w:lineRule="exact"/>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规范业务办理，依法及时就地解决信访问题</w:t>
            </w:r>
          </w:p>
        </w:tc>
        <w:tc>
          <w:tcPr>
            <w:tcW w:w="1866" w:type="dxa"/>
            <w:vAlign w:val="center"/>
          </w:tcPr>
          <w:p>
            <w:pPr>
              <w:widowControl/>
              <w:spacing w:line="420" w:lineRule="exact"/>
              <w:jc w:val="center"/>
              <w:rPr>
                <w:rFonts w:ascii="仿宋_GB2312" w:hAnsi="宋体" w:eastAsia="仿宋_GB2312" w:cs="仿宋_GB2312"/>
                <w:color w:val="000000"/>
                <w:kern w:val="2"/>
                <w:sz w:val="24"/>
              </w:rPr>
            </w:pPr>
            <w:r>
              <w:rPr>
                <w:rFonts w:hint="eastAsia" w:ascii="仿宋" w:hAnsi="仿宋" w:eastAsia="仿宋" w:cs="仿宋"/>
                <w:kern w:val="0"/>
                <w:sz w:val="24"/>
              </w:rPr>
              <w:t>效率明显提高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仿宋" w:hAnsi="仿宋" w:eastAsia="仿宋" w:cs="仿宋"/>
                <w:kern w:val="0"/>
                <w:sz w:val="24"/>
              </w:rPr>
            </w:pPr>
          </w:p>
        </w:tc>
        <w:tc>
          <w:tcPr>
            <w:tcW w:w="1731" w:type="dxa"/>
            <w:vMerge w:val="continue"/>
            <w:vAlign w:val="center"/>
          </w:tcPr>
          <w:p>
            <w:pPr>
              <w:widowControl/>
              <w:jc w:val="center"/>
              <w:rPr>
                <w:rFonts w:ascii="仿宋" w:hAnsi="仿宋" w:eastAsia="仿宋" w:cs="仿宋"/>
                <w:kern w:val="0"/>
                <w:sz w:val="24"/>
              </w:rPr>
            </w:pPr>
          </w:p>
        </w:tc>
        <w:tc>
          <w:tcPr>
            <w:tcW w:w="3040" w:type="dxa"/>
            <w:vAlign w:val="center"/>
          </w:tcPr>
          <w:p>
            <w:pPr>
              <w:widowControl/>
              <w:spacing w:line="420" w:lineRule="exact"/>
              <w:jc w:val="center"/>
              <w:rPr>
                <w:rFonts w:ascii="仿宋_GB2312" w:hAnsi="宋体" w:eastAsia="仿宋_GB2312" w:cs="仿宋_GB2312"/>
                <w:color w:val="000000"/>
                <w:kern w:val="0"/>
                <w:sz w:val="24"/>
              </w:rPr>
            </w:pPr>
            <w:r>
              <w:rPr>
                <w:rFonts w:hint="eastAsia" w:ascii="仿宋" w:hAnsi="仿宋" w:eastAsia="仿宋" w:cs="仿宋"/>
                <w:kern w:val="0"/>
                <w:sz w:val="24"/>
              </w:rPr>
              <w:t>加大法治宣传，营造文明有序的信访秩序</w:t>
            </w:r>
          </w:p>
        </w:tc>
        <w:tc>
          <w:tcPr>
            <w:tcW w:w="1866" w:type="dxa"/>
            <w:vAlign w:val="center"/>
          </w:tcPr>
          <w:p>
            <w:pPr>
              <w:widowControl/>
              <w:spacing w:line="420" w:lineRule="exact"/>
              <w:jc w:val="center"/>
              <w:rPr>
                <w:rFonts w:ascii="仿宋_GB2312" w:hAnsi="宋体" w:eastAsia="仿宋_GB2312" w:cs="宋体"/>
                <w:kern w:val="0"/>
                <w:sz w:val="24"/>
              </w:rPr>
            </w:pPr>
            <w:r>
              <w:rPr>
                <w:rFonts w:hint="eastAsia" w:ascii="仿宋" w:hAnsi="仿宋" w:eastAsia="仿宋" w:cs="仿宋"/>
                <w:kern w:val="0"/>
                <w:sz w:val="24"/>
              </w:rPr>
              <w:t>有所改进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仿宋" w:hAnsi="仿宋" w:eastAsia="仿宋" w:cs="仿宋"/>
                <w:kern w:val="0"/>
                <w:sz w:val="24"/>
              </w:rPr>
            </w:pPr>
          </w:p>
        </w:tc>
        <w:tc>
          <w:tcPr>
            <w:tcW w:w="1731" w:type="dxa"/>
            <w:vMerge w:val="continue"/>
            <w:vAlign w:val="center"/>
          </w:tcPr>
          <w:p>
            <w:pPr>
              <w:widowControl/>
              <w:jc w:val="center"/>
              <w:rPr>
                <w:rFonts w:ascii="仿宋" w:hAnsi="仿宋" w:eastAsia="仿宋" w:cs="仿宋"/>
                <w:kern w:val="0"/>
                <w:sz w:val="24"/>
              </w:rPr>
            </w:pPr>
          </w:p>
        </w:tc>
        <w:tc>
          <w:tcPr>
            <w:tcW w:w="3040" w:type="dxa"/>
            <w:vAlign w:val="center"/>
          </w:tcPr>
          <w:p>
            <w:pPr>
              <w:widowControl/>
              <w:spacing w:line="420" w:lineRule="exact"/>
              <w:jc w:val="center"/>
              <w:rPr>
                <w:rFonts w:ascii="仿宋" w:hAnsi="仿宋" w:eastAsia="仿宋" w:cs="仿宋"/>
                <w:kern w:val="0"/>
                <w:sz w:val="24"/>
              </w:rPr>
            </w:pPr>
            <w:r>
              <w:rPr>
                <w:rFonts w:hint="eastAsia" w:ascii="仿宋" w:hAnsi="仿宋" w:eastAsia="仿宋" w:cs="仿宋"/>
                <w:kern w:val="0"/>
                <w:sz w:val="24"/>
              </w:rPr>
              <w:t>强化领导带头，落实信访工作长效机制</w:t>
            </w:r>
          </w:p>
        </w:tc>
        <w:tc>
          <w:tcPr>
            <w:tcW w:w="1866" w:type="dxa"/>
            <w:vAlign w:val="center"/>
          </w:tcPr>
          <w:p>
            <w:pPr>
              <w:widowControl/>
              <w:spacing w:line="420" w:lineRule="exact"/>
              <w:jc w:val="center"/>
              <w:rPr>
                <w:rFonts w:ascii="仿宋_GB2312" w:hAnsi="宋体" w:eastAsia="仿宋_GB2312" w:cs="宋体"/>
                <w:kern w:val="0"/>
                <w:sz w:val="24"/>
              </w:rPr>
            </w:pPr>
            <w:r>
              <w:rPr>
                <w:rFonts w:hint="eastAsia" w:ascii="仿宋" w:hAnsi="仿宋" w:eastAsia="仿宋" w:cs="仿宋"/>
                <w:kern w:val="0"/>
                <w:sz w:val="24"/>
              </w:rPr>
              <w:t>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4" w:type="dxa"/>
            <w:vMerge w:val="continue"/>
            <w:vAlign w:val="center"/>
          </w:tcPr>
          <w:p>
            <w:pPr>
              <w:spacing w:line="320" w:lineRule="exact"/>
              <w:jc w:val="center"/>
              <w:rPr>
                <w:rFonts w:ascii="仿宋" w:hAnsi="仿宋" w:eastAsia="仿宋" w:cs="仿宋"/>
                <w:kern w:val="0"/>
                <w:sz w:val="24"/>
              </w:rPr>
            </w:pPr>
          </w:p>
        </w:tc>
        <w:tc>
          <w:tcPr>
            <w:tcW w:w="1403" w:type="dxa"/>
            <w:vMerge w:val="continue"/>
            <w:vAlign w:val="center"/>
          </w:tcPr>
          <w:p>
            <w:pPr>
              <w:spacing w:line="320" w:lineRule="exact"/>
              <w:jc w:val="center"/>
              <w:rPr>
                <w:rFonts w:ascii="仿宋" w:hAnsi="仿宋" w:eastAsia="仿宋" w:cs="仿宋"/>
                <w:kern w:val="0"/>
                <w:sz w:val="24"/>
              </w:rPr>
            </w:pPr>
          </w:p>
        </w:tc>
        <w:tc>
          <w:tcPr>
            <w:tcW w:w="1731"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满意度</w:t>
            </w:r>
          </w:p>
        </w:tc>
        <w:tc>
          <w:tcPr>
            <w:tcW w:w="3040"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社会群众满意度</w:t>
            </w:r>
          </w:p>
        </w:tc>
        <w:tc>
          <w:tcPr>
            <w:tcW w:w="1866" w:type="dxa"/>
            <w:vAlign w:val="center"/>
          </w:tcPr>
          <w:p>
            <w:pPr>
              <w:widowControl/>
              <w:jc w:val="center"/>
              <w:rPr>
                <w:rFonts w:eastAsia="仿宋"/>
                <w:kern w:val="0"/>
                <w:sz w:val="24"/>
              </w:rPr>
            </w:pPr>
            <w:r>
              <w:rPr>
                <w:rFonts w:hint="eastAsia" w:ascii="仿宋" w:hAnsi="仿宋" w:eastAsia="仿宋" w:cs="仿宋"/>
                <w:kern w:val="0"/>
                <w:sz w:val="24"/>
              </w:rPr>
              <w:t>≥9</w:t>
            </w:r>
            <w:r>
              <w:rPr>
                <w:rFonts w:hint="eastAsia" w:ascii="仿宋" w:hAnsi="仿宋" w:eastAsia="仿宋" w:cs="仿宋"/>
                <w:kern w:val="0"/>
                <w:sz w:val="24"/>
                <w:lang w:val="en-US" w:eastAsia="zh-CN"/>
              </w:rPr>
              <w:t>8</w:t>
            </w:r>
            <w:r>
              <w:rPr>
                <w:rFonts w:hint="eastAsia" w:ascii="仿宋" w:hAnsi="仿宋" w:eastAsia="仿宋" w:cs="仿宋"/>
                <w:kern w:val="0"/>
                <w:sz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YmU4MDEyMTVjNTgwMWJmYjlhYzI2NzZhNTFkZmEifQ=="/>
  </w:docVars>
  <w:rsids>
    <w:rsidRoot w:val="008A3EB8"/>
    <w:rsid w:val="00230B16"/>
    <w:rsid w:val="004F33D3"/>
    <w:rsid w:val="008A3EB8"/>
    <w:rsid w:val="00BF0D0C"/>
    <w:rsid w:val="00C7652C"/>
    <w:rsid w:val="2E495BB6"/>
    <w:rsid w:val="494D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8"/>
    <w:autoRedefine/>
    <w:semiHidden/>
    <w:unhideWhenUsed/>
    <w:qFormat/>
    <w:uiPriority w:val="99"/>
    <w:pPr>
      <w:spacing w:after="120"/>
    </w:p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uiPriority w:val="99"/>
    <w:rPr>
      <w:rFonts w:ascii="Times New Roman" w:hAnsi="Times New Roman" w:eastAsia="宋体" w:cs="Times New Roman"/>
      <w:szCs w:val="24"/>
    </w:rPr>
  </w:style>
  <w:style w:type="character" w:customStyle="1" w:styleId="9">
    <w:name w:val="页眉 Char"/>
    <w:basedOn w:val="7"/>
    <w:link w:val="4"/>
    <w:autoRedefine/>
    <w:semiHidden/>
    <w:uiPriority w:val="99"/>
    <w:rPr>
      <w:rFonts w:ascii="Times New Roman" w:hAnsi="Times New Roman" w:eastAsia="宋体" w:cs="Times New Roman"/>
      <w:sz w:val="18"/>
      <w:szCs w:val="18"/>
    </w:rPr>
  </w:style>
  <w:style w:type="character" w:customStyle="1" w:styleId="10">
    <w:name w:val="页脚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85</Words>
  <Characters>490</Characters>
  <Lines>4</Lines>
  <Paragraphs>1</Paragraphs>
  <TotalTime>10</TotalTime>
  <ScaleCrop>false</ScaleCrop>
  <LinksUpToDate>false</LinksUpToDate>
  <CharactersWithSpaces>574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2023-07-24T03:58:00Z</dcterms:created>
  <dc:creator>tf001</dc:creator>
  <cp:lastModifiedBy>Administrator</cp:lastModifiedBy>
  <cp:lastPrinted>2024-05-14T07:26:56Z</cp:lastPrinted>
  <dcterms:modified xsi:type="dcterms:W3CDTF">2024-05-14T07:27:43Z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3C51007C191C415381817AC64244EC4D_12</vt:lpwstr>
  </property>
</Properties>
</file>