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bookmarkStart w:id="0" w:name="_GoBack"/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沅江市委统战部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bookmarkEnd w:id="0"/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eastAsia="zh-CN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eastAsia="黑体"/>
          <w:sz w:val="36"/>
          <w:szCs w:val="36"/>
          <w:u w:val="single"/>
        </w:rPr>
        <w:t>（盖章）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  </w:t>
      </w:r>
    </w:p>
    <w:p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>
      <w:pPr>
        <w:ind w:firstLine="3240" w:firstLineChars="900"/>
        <w:jc w:val="both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年   月  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（此页为封面）</w:t>
      </w: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</w:rPr>
      </w:pP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val="en-US" w:eastAsia="zh-CN"/>
        </w:rPr>
        <w:t>沅江市委统战部</w:t>
      </w:r>
      <w:r>
        <w:rPr>
          <w:rFonts w:hint="eastAsia" w:eastAsia="黑体"/>
          <w:sz w:val="44"/>
          <w:szCs w:val="44"/>
        </w:rPr>
        <w:t>整体支出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简要介绍2023年度重点工作；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highlight w:val="none"/>
          <w:lang w:val="en-US" w:eastAsia="zh-CN" w:bidi="ar-SA"/>
        </w:rPr>
        <w:t>1、防范风险隐患，把牢统一战线之“底线”。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一是把牢政治导向，坚持宗教中国化方向。二是织牢安全红线，严排风险隐患。三是抓牢关键领域，确保宗教事务依法依规。四是铸牢团结意识，绘制民族团结“同心圆”。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服务经济发展，彰显统一战线之“作为”。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一是加强组织建设，实现基层商会全覆盖。二是提升服务水平，促进非公经济新发展。三是勇担社会责任，再谱光彩事业新篇章。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聚焦特色亮点，打造统一战线之“品牌”。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一是推动“楼宇统战”提质扩面。二是持续推进“同心创建”工作。三是率先出台《关于加强新时代党外代表人士队伍建设的实施方案（试行）》。</w:t>
      </w:r>
    </w:p>
    <w:p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（二）部门整体支出规模、使用方向、主要内容和涉及范围。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全年支出251.69万元，其中：基本支出191万元；基本支出系保障本单位机构正常运转、完成日常工作任务而发生的各项支出，用于在职退休人员基本工资、津贴补贴等人员经费以及办公费、印刷费、水电费、差旅费、维修（护）费、其他交通费、办公设备购置等日常公用经费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1.主要用途及管理情况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2023年，我部的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基本支出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191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其中：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工资福利支出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160.17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万元；商品和服务支出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28.14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万元；对个人和家庭的补助支出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2.69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万元；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580" w:lineRule="exact"/>
        <w:ind w:left="0" w:right="0" w:firstLine="66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2.机关运行经费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580" w:lineRule="exact"/>
        <w:ind w:left="0" w:right="0" w:firstLine="66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2023年本级机关运行经费当年一般公共预算拨款13万元，主要用于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电费、差旅费、会议费、培训费、公务接待费、工会经费、公务用车运行维护费等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numPr>
          <w:ilvl w:val="0"/>
          <w:numId w:val="2"/>
        </w:numPr>
        <w:spacing w:line="600" w:lineRule="exact"/>
        <w:ind w:left="0" w:lef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我部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业务类工作专项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总预算经费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万元。主要用于：党外代表人士队伍建设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万，统战部专项工作经费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侨联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万，建立非公经济代表人士评价体系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民族宗教工作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宗教减存量专项工作经费8万元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，“四同”创建工作经费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党外知识分子联谊会工作经费6.4万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我部无政府性基金预算收支</w:t>
      </w:r>
    </w:p>
    <w:p>
      <w:pPr>
        <w:pStyle w:val="7"/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我部无国有资本经营预算收支</w:t>
      </w:r>
    </w:p>
    <w:p>
      <w:pPr>
        <w:pStyle w:val="7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我部无社会保险基金预算收支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 xml:space="preserve">年部门支出在满足了单位各项工作的正常开展，确保了各项计划和任务的完成，我单位各项工作取得不错的成绩。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" w:eastAsia="仿宋" w:cs="仿宋"/>
          <w:color w:val="auto"/>
          <w:sz w:val="28"/>
          <w:szCs w:val="28"/>
          <w:lang w:bidi="ar-SA"/>
        </w:rPr>
      </w:pPr>
      <w:r>
        <w:rPr>
          <w:rFonts w:hint="eastAsia" w:ascii="楷体" w:eastAsia="楷体" w:cs="宋体"/>
          <w:b/>
          <w:color w:val="auto"/>
          <w:kern w:val="0"/>
          <w:sz w:val="32"/>
          <w:szCs w:val="32"/>
          <w:shd w:val="clear" w:color="auto" w:fill="FFFFFF"/>
          <w:lang w:bidi="ar-SA"/>
        </w:rPr>
        <w:t>（一）经济性方面。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年全年按照部门预算进行成本控制，单位的日常性工作开支严格按预算执行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年，“三公”经费完成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23181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元，比上年减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3313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元，增减变化的主要原因是：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公务接待活动减少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 xml:space="preserve">专项支出按财政部门下达的计划实施，全年没有项目超支。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80" w:lineRule="exact"/>
        <w:ind w:firstLine="640"/>
        <w:jc w:val="left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  <w:lang w:bidi="ar-SA"/>
        </w:rPr>
      </w:pPr>
      <w:r>
        <w:rPr>
          <w:rFonts w:hint="eastAsia" w:ascii="楷体" w:eastAsia="楷体" w:cs="宋体"/>
          <w:b/>
          <w:color w:val="auto"/>
          <w:kern w:val="0"/>
          <w:sz w:val="32"/>
          <w:szCs w:val="32"/>
          <w:shd w:val="clear" w:color="auto" w:fill="FFFFFF"/>
          <w:lang w:bidi="ar-SA"/>
        </w:rPr>
        <w:t>（二）效率性方面。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eastAsia="zh-CN" w:bidi="ar-SA"/>
        </w:rPr>
        <w:t>202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bidi="ar-SA"/>
        </w:rPr>
        <w:t>年我单位认真贯彻落实中央、省委、市委的政策要求，工作取得很好的成效。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积极落实上级交办的政治任务；建立党外知识分子人才库；扎实开展精准扶贫工作，严格执行公车改革制度。建立完善宗教三级管理网络；申报“四同创建”单位；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bidi="ar-SA"/>
        </w:rPr>
        <w:t>做好党外后备干部和新的代表人物队伍的建设工作。完成非公有制经济人士的综合评价和政治安排。管理好黄埔军校同学会、党外知识分子联谊会。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firstLine="643" w:firstLineChars="200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b/>
          <w:color w:val="auto"/>
          <w:kern w:val="0"/>
          <w:sz w:val="32"/>
          <w:szCs w:val="32"/>
          <w:shd w:val="clear" w:color="auto" w:fill="FFFFFF"/>
          <w:lang w:bidi="ar-SA"/>
        </w:rPr>
        <w:t>（三）</w:t>
      </w:r>
      <w:r>
        <w:rPr>
          <w:rFonts w:hint="eastAsia" w:ascii="楷体" w:eastAsia="楷体" w:cs="宋体"/>
          <w:b/>
          <w:color w:val="auto"/>
          <w:kern w:val="0"/>
          <w:sz w:val="32"/>
          <w:szCs w:val="32"/>
          <w:shd w:val="clear" w:color="auto" w:fill="FFFFFF"/>
          <w:lang w:bidi="ar-SA"/>
        </w:rPr>
        <w:t>有效性方面。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lang w:bidi="ar-SA"/>
        </w:rPr>
        <w:t>部门支出的有效性主要体现在我单位各项工作成效上，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如加强与其他地区工作联系，发挥民营企业增加群众收入的积极作用；充分发挥党外知识分子建言献策作用；重点帮助一个贫困村脱贫。加强管理，引导宗教团体与社会主义社会相适应；实现党外干部政治安排和实职安排；密切联系台胞台属、侨胞侨属，切实解决其实际困难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通过对我部门整体支出绩效情况的分析、评价，反映出目前在预算支出及绩效管理方面，依然存在一些问题和不足：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预算编制还不够细化、量化；部门绩效目标和评价目标还不够科学合理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绩效评价结果应用的制度化建设欠缺，绩效评价结果应用在财务管理制度中只有原则性规定，细化、量化程度不足，执行效果不佳。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主要原因：部分公用经费和项目经费预算缺口大。年中由于工作任务的突发性、经费测算不精确等原因，造成预算执行中存在预算安排不精准、预算执行不及时等。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2、资金分配方式有待改进，资金使用效益有待提高，对预算资金使用跟踪监控力度不足。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主要原因：预算资金分配评价标准体系不够科学、全面、量化，统筹业务、使用情况、资金存量的力度不够，资金使用绩效监控意识薄弱。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1、提高认识，加强学习与培训。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预算及预算绩效管理理论、政策的宣传、学习、培训，进一步提高对预算绩效管理的认识，提升相关业务工作人员的能力水平，科学合理编制预算，严格执行预算。进一步提高预算编制水平，做准做全基本支出和项目支出预算，加强预算支出的审核、跟踪及预算执行情况分析，提高预算编制严谨性和可控性。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2、完善管理制度，进一步加强资产管理。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完善机关现有财务管理制度，加强绩效评价结果应用，推进预算绩效管理实现全过程、全覆盖，用制度管好预算资金的安排、分配和使用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九、</w:t>
      </w:r>
      <w:r>
        <w:rPr>
          <w:rFonts w:eastAsia="黑体"/>
          <w:sz w:val="32"/>
          <w:szCs w:val="32"/>
        </w:rPr>
        <w:t>绩效自评结果拟应用和公开情况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（一）拟应用情况。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根据《湖南省财政厅关于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印发《湖南省预算支出绩效评价管理办法》的通知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》（湘财绩〔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、《关于全面实施预算绩效管理的实施方案》（沅政办资发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拟将本次绩效自评结果作为下一年度机关预算支出安排的重要依据，对执行绩效低，效果差的项目资金进行削减或取消，将削减或取消部分统筹安排到重点、核心工作上来，确保预算执行绩效质量更高、效果更好。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（二）拟公开情况。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根据通知要求，我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拟于6月30日前在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门户网站公开本次绩效自评情况。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left"/>
        <w:rPr>
          <w:rFonts w:eastAsia="黑体"/>
          <w:kern w:val="0"/>
          <w:sz w:val="32"/>
          <w:szCs w:val="32"/>
        </w:rPr>
      </w:pPr>
    </w:p>
    <w:p/>
    <w:sectPr>
      <w:pgSz w:w="11906" w:h="16838"/>
      <w:pgMar w:top="1701" w:right="1587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D90D7"/>
    <w:multiLevelType w:val="singleLevel"/>
    <w:tmpl w:val="C28D90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C02CB3"/>
    <w:multiLevelType w:val="singleLevel"/>
    <w:tmpl w:val="D3C02C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NkZTYwYTNlNmFiNjQ5MzkxZGVmYzU5NTA0NmYifQ=="/>
  </w:docVars>
  <w:rsids>
    <w:rsidRoot w:val="00172A27"/>
    <w:rsid w:val="1E94616E"/>
    <w:rsid w:val="21D64C62"/>
    <w:rsid w:val="369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2"/>
    <w:qFormat/>
    <w:uiPriority w:val="0"/>
    <w:pPr>
      <w:spacing w:before="100" w:beforeAutospacing="1" w:after="0" w:line="580" w:lineRule="atLeast"/>
      <w:ind w:left="0" w:leftChars="0" w:firstLine="420" w:firstLineChars="200"/>
    </w:pPr>
    <w:rPr>
      <w:rFonts w:eastAsia="仿宋_GB2312"/>
      <w:sz w:val="32"/>
      <w:szCs w:val="32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贺小妹</cp:lastModifiedBy>
  <dcterms:modified xsi:type="dcterms:W3CDTF">2024-05-16T02:03:03Z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8A519704D83547A0B1CF55504A6C6BBC_12</vt:lpwstr>
  </property>
</Properties>
</file>