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60" w:lineRule="exact"/>
        <w:jc w:val="center"/>
        <w:textAlignment w:val="auto"/>
        <w:rPr>
          <w:rFonts w:ascii="Helvetica" w:hAnsi="Helvetica" w:eastAsia="宋体" w:cs="Helvetica"/>
          <w:b/>
          <w:bCs/>
          <w:sz w:val="45"/>
          <w:szCs w:val="45"/>
        </w:rPr>
      </w:pPr>
      <w:r>
        <w:rPr>
          <w:rFonts w:hint="eastAsia" w:ascii="方正小标宋简体" w:hAnsi="方正小标宋简体" w:eastAsia="方正小标宋简体" w:cs="方正小标宋简体"/>
          <w:b w:val="0"/>
          <w:bCs w:val="0"/>
          <w:sz w:val="44"/>
          <w:szCs w:val="44"/>
        </w:rPr>
        <w:t>沅江市行政审批服务局</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年度专项支出绩效评价报告</w:t>
      </w:r>
      <w:r>
        <w:rPr>
          <w:rFonts w:hint="eastAsia" w:ascii="方正小标宋简体" w:hAnsi="方正小标宋简体" w:eastAsia="方正小标宋简体" w:cs="方正小标宋简体"/>
          <w:b w:val="0"/>
          <w:bCs w:val="0"/>
          <w:sz w:val="44"/>
          <w:szCs w:val="44"/>
          <w:shd w:val="clear" w:color="auto" w:fill="FFFFFF"/>
        </w:rPr>
        <w:t>　</w:t>
      </w:r>
      <w:r>
        <w:rPr>
          <w:rFonts w:hint="eastAsia" w:ascii="黑体" w:hAnsi="黑体" w:eastAsia="黑体" w:cs="Times New Roman"/>
          <w:sz w:val="32"/>
          <w:szCs w:val="32"/>
          <w:shd w:val="clear" w:color="auto" w:fill="FFFFFF"/>
        </w:rPr>
        <w:t>　</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沅江市财政局关于做好2023年度预算绩效自评工作的通知》（沅财绩〔2023〕1号）工作要求</w:t>
      </w:r>
      <w:r>
        <w:rPr>
          <w:rFonts w:hint="eastAsia" w:ascii="仿宋_GB2312" w:hAnsi="仿宋_GB2312" w:eastAsia="仿宋_GB2312" w:cs="仿宋_GB2312"/>
          <w:sz w:val="32"/>
          <w:szCs w:val="32"/>
        </w:rPr>
        <w:t>，我局对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年度专项资金绩效评价如下：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一、项目基本情况</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　(一)项目概况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单位机构设置及人员情况</w:t>
      </w:r>
    </w:p>
    <w:p>
      <w:pPr>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沅江市行政审批服务局成立于2019年3月，根据编委核定，我局内设综合股、窗口管理股、行政审批改革股、政务服务管理股、电子政务与数据资源管理股等５个股室，所属正股级事业单位１个（沅江市政务服务中心），全部纳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年部门预算编制范围。</w:t>
      </w:r>
      <w:bookmarkStart w:id="0" w:name="_GoBack"/>
      <w:bookmarkEnd w:id="0"/>
      <w:r>
        <w:rPr>
          <w:rFonts w:hint="eastAsia" w:ascii="仿宋_GB2312" w:hAnsi="仿宋_GB2312" w:eastAsia="仿宋_GB2312" w:cs="仿宋_GB2312"/>
          <w:sz w:val="32"/>
          <w:szCs w:val="32"/>
          <w:shd w:val="clear" w:color="auto" w:fill="FFFFFF"/>
        </w:rPr>
        <w:t>纳入部门预算编制17人。其中：实有在职人员1</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人，离退休人员</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人，遗属０人。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单位主要工作职能</w:t>
      </w:r>
    </w:p>
    <w:p>
      <w:pPr>
        <w:shd w:val="clear" w:color="auto" w:fill="FFFFFF"/>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贯彻落实党中央关于行政审批制度改革、政务管理服务、智慧城市建设、数据资源管理工作的方针政策和决策部署，全面落实市委、市政府关于行政审批制度改革、政务管理服务、智慧城市建设、数据资源管理工作的部署要求，在履行职责过程中坚持和加强党对行政审批改革、政务管理服务、数据资源管理工作的集中统一领导。</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华文楷体" w:hAnsi="华文楷体" w:eastAsia="华文楷体" w:cs="华文楷体"/>
          <w:b w:val="0"/>
          <w:bCs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2023年，我局认真贯彻落实市委市政府决策部署，牵头推进“放管服”改革和“一件事一次办”改革、用好用活湘易办，提升线上线下政务服务能务，持续优化营商政务环境，提高办事群众和企业满意度、获得感，工作取得明显成效，</w:t>
      </w:r>
      <w:r>
        <w:rPr>
          <w:rFonts w:hint="eastAsia" w:ascii="仿宋_GB2312" w:hAnsi="仿宋_GB2312" w:eastAsia="仿宋_GB2312" w:cs="仿宋_GB2312"/>
          <w:sz w:val="32"/>
          <w:szCs w:val="32"/>
        </w:rPr>
        <w:t>荣</w:t>
      </w:r>
      <w:r>
        <w:rPr>
          <w:rFonts w:hint="eastAsia" w:ascii="仿宋_GB2312" w:hAnsi="仿宋_GB2312" w:eastAsia="仿宋_GB2312" w:cs="仿宋_GB2312"/>
          <w:sz w:val="32"/>
          <w:szCs w:val="32"/>
          <w:lang w:eastAsia="zh-CN"/>
        </w:rPr>
        <w:t>获</w:t>
      </w:r>
      <w:r>
        <w:rPr>
          <w:rFonts w:hint="eastAsia" w:ascii="仿宋_GB2312" w:hAnsi="仿宋_GB2312" w:eastAsia="仿宋_GB2312" w:cs="仿宋_GB2312"/>
          <w:sz w:val="32"/>
          <w:szCs w:val="32"/>
          <w:lang w:val="en-US" w:eastAsia="zh-CN"/>
        </w:rPr>
        <w:t>2023年度湖南省深化“放管服”和“一件事一次办”改革真抓实干督查激励表扬，</w:t>
      </w:r>
      <w:r>
        <w:rPr>
          <w:rFonts w:hint="eastAsia" w:ascii="仿宋_GB2312" w:hAnsi="仿宋_GB2312" w:eastAsia="仿宋_GB2312" w:cs="仿宋_GB2312"/>
          <w:b w:val="0"/>
          <w:bCs w:val="0"/>
          <w:sz w:val="32"/>
          <w:szCs w:val="32"/>
          <w:lang w:val="en-US" w:eastAsia="zh-CN"/>
        </w:rPr>
        <w:t>全省营商环境评价政务服务指标排位前省第4名，公租房申请一件事荣获全省</w:t>
      </w:r>
      <w:r>
        <w:rPr>
          <w:rFonts w:hint="eastAsia" w:ascii="仿宋_GB2312" w:eastAsia="仿宋_GB2312" w:cstheme="minorBidi"/>
          <w:b w:val="0"/>
          <w:bCs w:val="0"/>
          <w:kern w:val="2"/>
          <w:sz w:val="32"/>
          <w:szCs w:val="32"/>
          <w:lang w:val="en-US" w:eastAsia="zh-CN" w:bidi="ar-SA"/>
        </w:rPr>
        <w:t>“一件事一次办”改革“揭榜竞优”优秀成果改革品牌。</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绩效评价指标分析情况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（一）项目资金情况分析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1.项目资金到位情况分析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年，市财政拨付市行政审批服务局</w:t>
      </w:r>
      <w:r>
        <w:rPr>
          <w:rFonts w:hint="eastAsia" w:ascii="仿宋_GB2312" w:hAnsi="仿宋_GB2312" w:eastAsia="仿宋_GB2312" w:cs="仿宋_GB2312"/>
          <w:sz w:val="32"/>
          <w:szCs w:val="32"/>
          <w:lang w:val="en-US" w:eastAsia="zh-CN"/>
        </w:rPr>
        <w:t>劳务派遣人员工资、大厅营运维护费用、物业管理费、地下停车位租金、业务培训费、电费及水费、食堂补贴等费用</w:t>
      </w:r>
      <w:r>
        <w:rPr>
          <w:rFonts w:hint="eastAsia" w:ascii="仿宋_GB2312" w:hAnsi="仿宋_GB2312" w:eastAsia="仿宋_GB2312" w:cs="仿宋_GB2312"/>
          <w:sz w:val="32"/>
          <w:szCs w:val="32"/>
        </w:rPr>
        <w:t>专项经费</w:t>
      </w:r>
      <w:r>
        <w:rPr>
          <w:rFonts w:hint="eastAsia" w:ascii="仿宋_GB2312" w:hAnsi="仿宋_GB2312" w:eastAsia="仿宋_GB2312" w:cs="仿宋_GB2312"/>
          <w:sz w:val="32"/>
          <w:szCs w:val="32"/>
          <w:lang w:val="en-US" w:eastAsia="zh-CN"/>
        </w:rPr>
        <w:t>372</w:t>
      </w:r>
      <w:r>
        <w:rPr>
          <w:rFonts w:hint="eastAsia" w:ascii="仿宋_GB2312" w:hAnsi="仿宋_GB2312" w:eastAsia="仿宋_GB2312" w:cs="仿宋_GB2312"/>
          <w:sz w:val="32"/>
          <w:szCs w:val="32"/>
        </w:rPr>
        <w:t>万元。</w:t>
      </w:r>
    </w:p>
    <w:tbl>
      <w:tblPr>
        <w:tblStyle w:val="4"/>
        <w:tblW w:w="7956" w:type="dxa"/>
        <w:tblInd w:w="93" w:type="dxa"/>
        <w:shd w:val="clear" w:color="auto" w:fill="auto"/>
        <w:tblLayout w:type="fixed"/>
        <w:tblCellMar>
          <w:top w:w="0" w:type="dxa"/>
          <w:left w:w="108" w:type="dxa"/>
          <w:bottom w:w="0" w:type="dxa"/>
          <w:right w:w="108" w:type="dxa"/>
        </w:tblCellMar>
      </w:tblPr>
      <w:tblGrid>
        <w:gridCol w:w="2016"/>
        <w:gridCol w:w="2865"/>
        <w:gridCol w:w="1164"/>
        <w:gridCol w:w="1911"/>
      </w:tblGrid>
      <w:tr>
        <w:tblPrEx>
          <w:shd w:val="clear" w:color="auto" w:fill="auto"/>
          <w:tblCellMar>
            <w:top w:w="0" w:type="dxa"/>
            <w:left w:w="108" w:type="dxa"/>
            <w:bottom w:w="0" w:type="dxa"/>
            <w:right w:w="108" w:type="dxa"/>
          </w:tblCellMar>
        </w:tblPrEx>
        <w:trPr>
          <w:trHeight w:val="270" w:hRule="atLeast"/>
        </w:trPr>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86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116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9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一、经费拨款</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spacing w:after="0" w:line="560" w:lineRule="exact"/>
              <w:jc w:val="lef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3720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3720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新增劳务派遣人员工资</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大厅营运维护费用</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地下停车位租金</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业务培训费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电费及水费</w:t>
            </w:r>
          </w:p>
        </w:tc>
        <w:tc>
          <w:tcPr>
            <w:tcW w:w="286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911" w:type="dxa"/>
            <w:tcBorders>
              <w:top w:val="nil"/>
              <w:left w:val="nil"/>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食堂补贴</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120.00</w:t>
            </w:r>
          </w:p>
        </w:tc>
      </w:tr>
    </w:tbl>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单位：千元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2.项目资金管理情况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局机关财务制度</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管理规范,账务处理及时，会计核算规范。专项资金严格按照国家规定的项目资金相关法律、法规的规定和要求使用，确保资金的专款专用，项目资金严格按照国家规定的项目资金管理有关法律法规的规定使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（二）项目实施及管理情况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在专项资金组织管理上，我们严格按照国家和省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规定的项目资金相关法律、法规的规定和要求使用，实现了专项资金统一归口管理，坚持专款专用，量入为出的原则，使专用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（三）项目绩效情况分析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年度专项支出绩效显著，取得了良好的社会效应和经济效应。具体表现在：</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政务服务大厅实行精细化管理；</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2.营商</w:t>
      </w:r>
      <w:r>
        <w:rPr>
          <w:rFonts w:hint="eastAsia" w:ascii="仿宋_GB2312" w:hAnsi="仿宋_GB2312" w:eastAsia="仿宋_GB2312" w:cs="仿宋_GB2312"/>
          <w:sz w:val="32"/>
          <w:szCs w:val="32"/>
        </w:rPr>
        <w:t>政务环境持续优化;</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线上线下服务能力持续提升</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一件事一次办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改革持续深化</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after="0" w:afterLines="0" w:line="560" w:lineRule="exact"/>
        <w:ind w:left="0" w:leftChars="0" w:firstLine="0" w:firstLineChars="0"/>
        <w:rPr>
          <w:rFonts w:hint="default" w:eastAsia="仿宋_GB2312"/>
          <w:lang w:val="en-US" w:eastAsia="zh-CN"/>
        </w:rPr>
      </w:pPr>
      <w:r>
        <w:rPr>
          <w:rFonts w:hint="eastAsia" w:ascii="仿宋_GB2312" w:hAnsi="仿宋_GB2312" w:cs="仿宋_GB2312"/>
          <w:sz w:val="32"/>
          <w:szCs w:val="32"/>
          <w:lang w:val="en-US" w:eastAsia="zh-CN"/>
        </w:rPr>
        <w:t xml:space="preserve">    5.“清廉大厅”建设获得办事群众和企业认可。</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（四）项目后续工作计划</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32"/>
          <w:szCs w:val="32"/>
        </w:rPr>
        <w:t>1.加强宣传培训,提高窗口工作人员服务群众能力</w:t>
      </w:r>
      <w:r>
        <w:rPr>
          <w:rFonts w:hint="eastAsia" w:ascii="仿宋_GB2312" w:hAnsi="仿宋_GB2312" w:eastAsia="仿宋_GB2312" w:cs="仿宋_GB2312"/>
          <w:spacing w:val="1"/>
          <w:sz w:val="32"/>
          <w:szCs w:val="32"/>
        </w:rPr>
        <w:t xml:space="preserve">; </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3.提升政务服务大厅运行管理精准性和实效性；</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4.持续深化“放管服”和“一件事一次办”重点领域改革；</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5.扎实推进“清廉大厅”建设和文明创建工作，打造舒适暖心政务服务环境。</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黑体" w:hAnsi="黑体" w:eastAsia="黑体" w:cs="黑体"/>
          <w:sz w:val="21"/>
          <w:szCs w:val="21"/>
        </w:rPr>
      </w:pPr>
      <w:r>
        <w:rPr>
          <w:rFonts w:hint="eastAsia" w:ascii="黑体" w:hAnsi="黑体" w:eastAsia="黑体" w:cs="黑体"/>
          <w:sz w:val="32"/>
          <w:szCs w:val="32"/>
        </w:rPr>
        <w:t>三、综合评价情况及评价结论</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年我单位专项资金项目总体评价是：专项工作科学合理，管理规范，服务到位，整体完成较好，运行保障有力，取得良好的社会效益和经济效益。</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黑体" w:hAnsi="黑体" w:eastAsia="黑体" w:cs="黑体"/>
          <w:sz w:val="21"/>
          <w:szCs w:val="21"/>
        </w:rPr>
      </w:pPr>
      <w:r>
        <w:rPr>
          <w:rFonts w:hint="eastAsia" w:ascii="黑体" w:hAnsi="黑体" w:eastAsia="黑体" w:cs="黑体"/>
          <w:sz w:val="32"/>
          <w:szCs w:val="32"/>
        </w:rPr>
        <w:t>四、存在的问题和建议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1.存在的问题</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深化“放管服”和“一件事一次办”改革成效明显，但改革特色亮点宣传推介不力，总结提炼典型经验做法不够，在省、市主管机关简报和主流媒体上稿精品少。</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2.意见建议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打造亮点特色存在明显短板。要勇于开拓创新，深入研究挖掘特色亮点，争取上级主管部门支持，持续打造沅江数据和政务服务改革品牌。</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mE4ZTM4NmNkYmRkYzA1NGJjMjRmODZhNDBjNjgifQ=="/>
  </w:docVars>
  <w:rsids>
    <w:rsidRoot w:val="00D31D50"/>
    <w:rsid w:val="000158FA"/>
    <w:rsid w:val="00323B43"/>
    <w:rsid w:val="003D37D8"/>
    <w:rsid w:val="00426133"/>
    <w:rsid w:val="004358AB"/>
    <w:rsid w:val="008B7726"/>
    <w:rsid w:val="009655D4"/>
    <w:rsid w:val="00A73C2A"/>
    <w:rsid w:val="00D31D50"/>
    <w:rsid w:val="038221F4"/>
    <w:rsid w:val="04CD4CAE"/>
    <w:rsid w:val="066D270A"/>
    <w:rsid w:val="1E2E2D9C"/>
    <w:rsid w:val="1FAC4C3D"/>
    <w:rsid w:val="26556616"/>
    <w:rsid w:val="27CB5FC7"/>
    <w:rsid w:val="28481950"/>
    <w:rsid w:val="2E47051C"/>
    <w:rsid w:val="413F32C5"/>
    <w:rsid w:val="509B0A16"/>
    <w:rsid w:val="50AF18DD"/>
    <w:rsid w:val="5354676C"/>
    <w:rsid w:val="5E211941"/>
    <w:rsid w:val="70E247C8"/>
    <w:rsid w:val="75D2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r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1970</Words>
  <Characters>2204</Characters>
  <Lines>10</Lines>
  <Paragraphs>2</Paragraphs>
  <TotalTime>1</TotalTime>
  <ScaleCrop>false</ScaleCrop>
  <LinksUpToDate>false</LinksUpToDate>
  <CharactersWithSpaces>2215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cp:lastModifiedBy>
  <cp:lastPrinted>2023-04-10T01:45:00Z</cp:lastPrinted>
  <dcterms:modified xsi:type="dcterms:W3CDTF">2024-09-04T08:54:25Z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91D5515377E54BD983300F008A5E744B_13</vt:lpwstr>
  </property>
</Properties>
</file>