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沅江市文旅广体局2023年专项资金支出绩效自评报告</w:t>
      </w:r>
    </w:p>
    <w:p>
      <w:pPr>
        <w:widowControl/>
        <w:numPr>
          <w:ilvl w:val="0"/>
          <w:numId w:val="0"/>
        </w:numPr>
        <w:spacing w:line="480" w:lineRule="auto"/>
        <w:rPr>
          <w:rFonts w:hint="eastAsia" w:ascii="黑体" w:eastAsia="黑体" w:cs="Helvetica"/>
          <w:kern w:val="0"/>
          <w:sz w:val="32"/>
          <w:szCs w:val="32"/>
        </w:rPr>
      </w:pPr>
    </w:p>
    <w:p>
      <w:pPr>
        <w:spacing w:line="500" w:lineRule="exact"/>
        <w:ind w:firstLine="640" w:firstLineChars="200"/>
        <w:rPr>
          <w:rFonts w:hint="eastAsia" w:ascii="黑体" w:eastAsia="黑体"/>
          <w:sz w:val="32"/>
          <w:szCs w:val="32"/>
        </w:rPr>
      </w:pPr>
      <w:r>
        <w:rPr>
          <w:rFonts w:hint="eastAsia" w:ascii="黑体" w:eastAsia="黑体"/>
          <w:sz w:val="32"/>
          <w:szCs w:val="32"/>
        </w:rPr>
        <w:t>一、部门基本情况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（一）机构设置情况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因</w:t>
      </w: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机构改革，沅江市文化体育广电新闻出版局（旅游局）</w:t>
      </w:r>
      <w:r>
        <w:rPr>
          <w:rFonts w:hint="eastAsia"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在2019年</w:t>
      </w: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变更为沅江市文化旅游广电体育局，履行文化广电、体育、旅游管理职能，为沅江市人民政府的工作部门。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内设机构和二级机构分别是办公室、人事股、财务股、群文股、体育股、旅游股、法制股、文化馆、博物馆、图书馆、文化市场执法大队、全民服务健身中心。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人员情况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ascii="仿宋_GB2312" w:hAnsi="宋体" w:eastAsia="仿宋_GB2312" w:cs="仿宋_GB2312"/>
          <w:i w:val="0"/>
          <w:iCs w:val="0"/>
          <w:caps w:val="0"/>
          <w:color w:val="000000"/>
          <w:spacing w:val="0"/>
          <w:sz w:val="32"/>
          <w:szCs w:val="32"/>
          <w:shd w:val="clear" w:color="auto" w:fill="FFFFFF"/>
        </w:rPr>
        <w:t>202</w:t>
      </w:r>
      <w:r>
        <w:rPr>
          <w:rFonts w:hint="eastAsia" w:ascii="仿宋_GB2312" w:hAnsi="宋体" w:eastAsia="仿宋_GB2312" w:cs="仿宋_GB2312"/>
          <w:i w:val="0"/>
          <w:iCs w:val="0"/>
          <w:caps w:val="0"/>
          <w:color w:val="000000"/>
          <w:spacing w:val="0"/>
          <w:sz w:val="32"/>
          <w:szCs w:val="32"/>
          <w:shd w:val="clear" w:color="auto" w:fill="FFFFFF"/>
          <w:lang w:val="en-US" w:eastAsia="zh-CN"/>
        </w:rPr>
        <w:t>3</w:t>
      </w:r>
      <w:r>
        <w:rPr>
          <w:rFonts w:hint="default" w:ascii="仿宋_GB2312" w:hAnsi="宋体" w:eastAsia="仿宋_GB2312" w:cs="仿宋_GB2312"/>
          <w:i w:val="0"/>
          <w:iCs w:val="0"/>
          <w:caps w:val="0"/>
          <w:color w:val="000000"/>
          <w:spacing w:val="0"/>
          <w:sz w:val="32"/>
          <w:szCs w:val="32"/>
          <w:shd w:val="clear" w:color="auto" w:fill="FFFFFF"/>
        </w:rPr>
        <w:t>年度年末实有人数</w:t>
      </w:r>
      <w:r>
        <w:rPr>
          <w:rFonts w:hint="eastAsia" w:ascii="仿宋_GB2312" w:hAnsi="宋体" w:eastAsia="仿宋_GB2312" w:cs="仿宋_GB2312"/>
          <w:i w:val="0"/>
          <w:iCs w:val="0"/>
          <w:caps w:val="0"/>
          <w:color w:val="000000"/>
          <w:spacing w:val="0"/>
          <w:sz w:val="32"/>
          <w:szCs w:val="32"/>
          <w:shd w:val="clear" w:color="auto" w:fill="FFFFFF"/>
          <w:lang w:val="en-US" w:eastAsia="zh-CN"/>
        </w:rPr>
        <w:t>51</w:t>
      </w:r>
      <w:r>
        <w:rPr>
          <w:rFonts w:hint="default" w:ascii="仿宋_GB2312" w:hAnsi="宋体" w:eastAsia="仿宋_GB2312" w:cs="仿宋_GB2312"/>
          <w:i w:val="0"/>
          <w:iCs w:val="0"/>
          <w:caps w:val="0"/>
          <w:color w:val="000000"/>
          <w:spacing w:val="0"/>
          <w:sz w:val="32"/>
          <w:szCs w:val="32"/>
          <w:shd w:val="clear" w:color="auto" w:fill="FFFFFF"/>
        </w:rPr>
        <w:t>人，其中在职人员</w:t>
      </w:r>
      <w:r>
        <w:rPr>
          <w:rFonts w:hint="eastAsia" w:ascii="仿宋_GB2312" w:hAnsi="宋体" w:eastAsia="仿宋_GB2312" w:cs="仿宋_GB2312"/>
          <w:i w:val="0"/>
          <w:iCs w:val="0"/>
          <w:caps w:val="0"/>
          <w:color w:val="000000"/>
          <w:spacing w:val="0"/>
          <w:sz w:val="32"/>
          <w:szCs w:val="32"/>
          <w:shd w:val="clear" w:color="auto" w:fill="FFFFFF"/>
          <w:lang w:val="en-US" w:eastAsia="zh-CN"/>
        </w:rPr>
        <w:t>19</w:t>
      </w:r>
      <w:r>
        <w:rPr>
          <w:rFonts w:hint="default" w:ascii="仿宋_GB2312" w:hAnsi="宋体" w:eastAsia="仿宋_GB2312" w:cs="仿宋_GB2312"/>
          <w:i w:val="0"/>
          <w:iCs w:val="0"/>
          <w:caps w:val="0"/>
          <w:color w:val="000000"/>
          <w:spacing w:val="0"/>
          <w:sz w:val="32"/>
          <w:szCs w:val="32"/>
          <w:shd w:val="clear" w:color="auto" w:fill="FFFFFF"/>
        </w:rPr>
        <w:t>人，退休人员</w:t>
      </w:r>
      <w:r>
        <w:rPr>
          <w:rFonts w:hint="eastAsia" w:ascii="仿宋_GB2312" w:hAnsi="宋体" w:eastAsia="仿宋_GB2312" w:cs="仿宋_GB2312"/>
          <w:i w:val="0"/>
          <w:iCs w:val="0"/>
          <w:caps w:val="0"/>
          <w:color w:val="000000"/>
          <w:spacing w:val="0"/>
          <w:sz w:val="32"/>
          <w:szCs w:val="32"/>
          <w:shd w:val="clear" w:color="auto" w:fill="FFFFFF"/>
          <w:lang w:val="en-US" w:eastAsia="zh-CN"/>
        </w:rPr>
        <w:t>32</w:t>
      </w:r>
      <w:r>
        <w:rPr>
          <w:rFonts w:hint="default" w:ascii="仿宋_GB2312" w:hAnsi="宋体" w:eastAsia="仿宋_GB2312" w:cs="仿宋_GB2312"/>
          <w:i w:val="0"/>
          <w:iCs w:val="0"/>
          <w:caps w:val="0"/>
          <w:color w:val="000000"/>
          <w:spacing w:val="0"/>
          <w:sz w:val="32"/>
          <w:szCs w:val="32"/>
          <w:shd w:val="clear" w:color="auto" w:fill="FFFFFF"/>
        </w:rPr>
        <w:t>人。</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主要工作职责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amp;#65533;&amp;#65533;&amp;#65533;&amp;#65533" w:hAnsi="&amp;#65533;&amp;#65533;&amp;#65533;&amp;#65533" w:eastAsia="&amp;#65533;&amp;#65533;&amp;#65533;&amp;#65533" w:cs="&amp;#65533;&amp;#65533;&amp;#65533;&amp;#65533"/>
          <w:i w:val="0"/>
          <w:iCs w:val="0"/>
          <w:caps w:val="0"/>
          <w:color w:val="000000"/>
          <w:spacing w:val="0"/>
          <w:sz w:val="24"/>
          <w:szCs w:val="24"/>
        </w:rPr>
      </w:pPr>
      <w:r>
        <w:rPr>
          <w:rFonts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(1)贯彻执行党和国家关于文化艺术、文物博物、体育事业、广播电影电视和旅游各项方针政策和法律法规；贯彻执行党和国家宣传工作的方针政策。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(2) 制定全市文化艺术、文物博物、体育事业、广播电影电视和旅游的总体发展规划及分期实施计划，监督、指导、协调各类社会文化体育、广播电影电视和旅游的建设与发展。推进文化、体育和新闻出版（版权）领域以及广播电影电视体制机制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(3) 负责全市文化艺术、文物博物、体育事业、广播电影电视、旅游发展的行政管理；市政府公布的有关文化、体育、广电、旅游的行政审批；负责对互联网上网营业场所实行经营许可和动漫、网络游戏以及全县广播电影电视节目、信息网络视听节目和公共视听载体播放的视听节目的审查监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(4) 指导文化市场综合执法工作，监督管理全县文化市场、体育产业经营活动市场及市场准入、市场监管，经营者的行业监督、指导、协调；保护文物(地面、地下、水下、馆藏等文物)，监管、清收社会流散文物。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(5)组织领导全市广播电影电视科技工作，推进全县广播电影电视领域的公共服务，组织、实施、监管全县广播电影电视重点基础设施建设项目。负责全县广播电影电视节目传输、监测、安全播出和广播电影电视、信息网络视听节目服务机构的科研、技术改造和新技术推广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eastAsia"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（6）</w:t>
      </w: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组织指导各级各类群众文化艺术活动、体育活动（竞赛）和广播电影电视宣传和电视剧以及各艺术门类的创作活动；审查和指导全县民间文艺社团、文化(文物)、体育类民办非企业单位的申办和活动。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(7)组织和管理全市文化艺术交流、理论研究活动，搜集、整理、存储文化史料，地方文献。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(8)管理全市图书馆事业，指导图书文献资源的建设、开发和利用；组织推动图书馆网络化、标准化、现代化建设。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amp;#65533;&amp;#65533;&amp;#65533;&amp;#65533" w:hAnsi="&amp;#65533;&amp;#65533;&amp;#65533;&amp;#65533" w:eastAsia="&amp;#65533;&amp;#65533;&amp;#65533;&amp;#65533" w:cs="&amp;#65533;&amp;#65533;&amp;#65533;&amp;#65533"/>
          <w:i w:val="0"/>
          <w:iCs w:val="0"/>
          <w:caps w:val="0"/>
          <w:color w:val="000000"/>
          <w:spacing w:val="0"/>
          <w:sz w:val="24"/>
          <w:szCs w:val="24"/>
        </w:rPr>
      </w:pPr>
      <w:r>
        <w:rPr>
          <w:rFonts w:hint="default" w:ascii="仿宋_GB2312" w:hAnsi="&amp;#65533;&amp;#65533;&amp;#65533;&amp;#65533" w:eastAsia="仿宋_GB2312" w:cs="仿宋_GB2312"/>
          <w:i w:val="0"/>
          <w:iCs w:val="0"/>
          <w:caps w:val="0"/>
          <w:color w:val="000000"/>
          <w:spacing w:val="0"/>
          <w:kern w:val="0"/>
          <w:sz w:val="32"/>
          <w:szCs w:val="32"/>
          <w:shd w:val="clear" w:color="auto" w:fill="FFFFFF"/>
          <w:lang w:val="en-US" w:eastAsia="zh-CN" w:bidi="ar"/>
        </w:rPr>
        <w:t>(9)承办市委、市政府交办的其他事项。</w:t>
      </w:r>
    </w:p>
    <w:p>
      <w:pPr>
        <w:widowControl/>
        <w:spacing w:line="480" w:lineRule="auto"/>
        <w:ind w:firstLine="480"/>
        <w:rPr>
          <w:rFonts w:hint="eastAsia" w:ascii="楷体" w:hAnsi="楷体" w:eastAsia="楷体" w:cs="楷体"/>
          <w:color w:val="auto"/>
          <w:sz w:val="32"/>
          <w:szCs w:val="32"/>
        </w:rPr>
      </w:pPr>
      <w:r>
        <w:rPr>
          <w:rFonts w:hint="eastAsia" w:ascii="黑体" w:eastAsia="黑体" w:cs="Helvetica"/>
          <w:kern w:val="0"/>
          <w:sz w:val="32"/>
          <w:szCs w:val="32"/>
        </w:rPr>
        <w:t>二、项目支出使用情况</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专项支出的管理和使用情况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1、专项资金使用说明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（1）老剧团专项经费，用于老剧团人员保障经费，预算数15.5万元，实际支出15.5万元；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（2）剧院生活保障人员经费，用于保障剧院人员经费及日常工作开支，预算数85.3万元，实际支出85.3万元；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（3）旅游发展专项，用于旅游发展、规划工作经费，预算数50万元，实际支出XX万元；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（4）公共文化服务体系发展专项，用于沅江市公共文化建设工作经费，预算数20万元，实际支出20万元。</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（5）2023年春季乡村文化旅游节专项资金180万，用于春季乡村文化旅游节工作专项，年初预算数0万元，追加预算180万元，实际支出180万元</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eastAsia" w:ascii="仿宋_GB2312" w:eastAsia="仿宋_GB2312"/>
          <w:color w:val="auto"/>
          <w:sz w:val="32"/>
          <w:szCs w:val="32"/>
          <w:lang w:val="en-US" w:eastAsia="zh-CN"/>
        </w:rPr>
        <w:t>（7）</w:t>
      </w:r>
      <w:bookmarkStart w:id="1" w:name="_GoBack"/>
      <w:bookmarkEnd w:id="1"/>
      <w:r>
        <w:rPr>
          <w:rFonts w:hint="eastAsia" w:ascii="仿宋_GB2312" w:eastAsia="仿宋_GB2312"/>
          <w:color w:val="auto"/>
          <w:sz w:val="32"/>
          <w:szCs w:val="32"/>
          <w:lang w:val="en-US" w:eastAsia="zh-CN"/>
        </w:rPr>
        <w:t>；</w:t>
      </w:r>
    </w:p>
    <w:p>
      <w:pPr>
        <w:keepNext w:val="0"/>
        <w:keepLines w:val="0"/>
        <w:pageBreakBefore w:val="0"/>
        <w:numPr>
          <w:ilvl w:val="0"/>
          <w:numId w:val="3"/>
        </w:numPr>
        <w:kinsoku/>
        <w:wordWrap/>
        <w:overflowPunct/>
        <w:topLinePunct w:val="0"/>
        <w:autoSpaceDE/>
        <w:autoSpaceDN/>
        <w:bidi w:val="0"/>
        <w:adjustRightInd/>
        <w:snapToGrid/>
        <w:spacing w:line="560" w:lineRule="exact"/>
        <w:ind w:left="640" w:leftChars="0" w:firstLine="0" w:firstLineChars="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专项资金（主要指财政资金）实际使用情况分析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仿宋_GB2312" w:eastAsia="仿宋_GB2312"/>
          <w:color w:val="auto"/>
          <w:sz w:val="32"/>
          <w:szCs w:val="32"/>
          <w:lang w:val="en-US" w:eastAsia="zh-CN"/>
        </w:rPr>
      </w:pPr>
      <w:r>
        <w:rPr>
          <w:rFonts w:hint="eastAsia" w:ascii="仿宋_GB2312" w:hAnsi="å®‹ä½“" w:eastAsia="仿宋_GB2312" w:cs="仿宋_GB2312"/>
          <w:color w:val="auto"/>
          <w:sz w:val="31"/>
          <w:szCs w:val="31"/>
          <w:lang w:val="en-US" w:eastAsia="zh-CN"/>
        </w:rPr>
        <w:t>专项</w:t>
      </w:r>
      <w:r>
        <w:rPr>
          <w:rFonts w:hint="default" w:ascii="仿宋_GB2312" w:hAnsi="å®‹ä½“" w:eastAsia="仿宋_GB2312" w:cs="仿宋_GB2312"/>
          <w:color w:val="auto"/>
          <w:sz w:val="31"/>
          <w:szCs w:val="31"/>
        </w:rPr>
        <w:t>支出严格按照国家财经法规、预算资金管理办法、财务管理制度以及省级政府对财政专项资金管理有关法规的规定执行，把</w:t>
      </w:r>
      <w:r>
        <w:rPr>
          <w:rFonts w:hint="eastAsia" w:ascii="仿宋_GB2312" w:hAnsi="å®‹ä½“" w:eastAsia="仿宋_GB2312" w:cs="仿宋_GB2312"/>
          <w:color w:val="auto"/>
          <w:sz w:val="31"/>
          <w:szCs w:val="31"/>
          <w:lang w:val="en-US" w:eastAsia="zh-CN"/>
        </w:rPr>
        <w:t>专项</w:t>
      </w:r>
      <w:r>
        <w:rPr>
          <w:rFonts w:hint="default" w:ascii="仿宋_GB2312" w:hAnsi="å®‹ä½“" w:eastAsia="仿宋_GB2312" w:cs="仿宋_GB2312"/>
          <w:color w:val="auto"/>
          <w:sz w:val="31"/>
          <w:szCs w:val="31"/>
        </w:rPr>
        <w:t>资金的审批分配、监督检查与绩效评价结合起来。</w:t>
      </w:r>
      <w:r>
        <w:rPr>
          <w:rFonts w:hint="eastAsia" w:ascii="仿宋_GB2312" w:hAnsi="å®‹ä½“" w:eastAsia="仿宋_GB2312" w:cs="仿宋_GB2312"/>
          <w:color w:val="auto"/>
          <w:sz w:val="31"/>
          <w:szCs w:val="31"/>
          <w:lang w:val="en-US" w:eastAsia="zh-CN"/>
        </w:rPr>
        <w:t>专项</w:t>
      </w:r>
      <w:r>
        <w:rPr>
          <w:rFonts w:hint="default" w:ascii="仿宋_GB2312" w:hAnsi="å®‹ä½“" w:eastAsia="仿宋_GB2312" w:cs="仿宋_GB2312"/>
          <w:color w:val="auto"/>
          <w:sz w:val="31"/>
          <w:szCs w:val="31"/>
        </w:rPr>
        <w:t>支出中用于采购货物、服务类、拨款类等资金支出由国库集中支付，其他支出遵循先预算、再审批、后支出的原则，确保了财政资金分配和财政审批程序合法、保证了</w:t>
      </w:r>
      <w:r>
        <w:rPr>
          <w:rFonts w:hint="eastAsia" w:ascii="仿宋_GB2312" w:hAnsi="å®‹ä½“" w:eastAsia="仿宋_GB2312" w:cs="仿宋_GB2312"/>
          <w:color w:val="auto"/>
          <w:sz w:val="31"/>
          <w:szCs w:val="31"/>
          <w:lang w:val="en-US" w:eastAsia="zh-CN"/>
        </w:rPr>
        <w:t>专项</w:t>
      </w:r>
      <w:r>
        <w:rPr>
          <w:rFonts w:hint="default" w:ascii="仿宋_GB2312" w:hAnsi="å®‹ä½“" w:eastAsia="仿宋_GB2312" w:cs="仿宋_GB2312"/>
          <w:color w:val="auto"/>
          <w:sz w:val="31"/>
          <w:szCs w:val="31"/>
        </w:rPr>
        <w:t>资金的合理使用</w:t>
      </w:r>
      <w:r>
        <w:rPr>
          <w:rFonts w:hint="eastAsia" w:ascii="仿宋_GB2312" w:eastAsia="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sz w:val="32"/>
          <w:szCs w:val="32"/>
        </w:rPr>
      </w:pPr>
      <w:r>
        <w:rPr>
          <w:rFonts w:hint="eastAsia" w:ascii="黑体" w:eastAsia="黑体"/>
          <w:color w:val="auto"/>
          <w:sz w:val="32"/>
          <w:szCs w:val="32"/>
        </w:rPr>
        <w:t>三、部门专项组织实施情况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rPr>
        <w:t>（一）专项组织情况分析，主要包括项目招投标、调整、竣工验收等情况。</w:t>
      </w:r>
      <w:r>
        <w:rPr>
          <w:rFonts w:hint="eastAsia" w:ascii="仿宋" w:hAnsi="仿宋" w:eastAsia="仿宋" w:cs="仿宋"/>
          <w:color w:val="auto"/>
          <w:sz w:val="32"/>
          <w:szCs w:val="32"/>
          <w:lang w:val="en-US" w:eastAsia="zh-CN"/>
        </w:rPr>
        <w:t>专项资金做到专项专用，严格落实项目招标标准、流程，做好专项资金使用。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Helvetica"/>
          <w:kern w:val="0"/>
          <w:sz w:val="32"/>
          <w:szCs w:val="32"/>
          <w:lang w:eastAsia="zh-CN"/>
        </w:rPr>
      </w:pPr>
      <w:r>
        <w:rPr>
          <w:rFonts w:hint="eastAsia" w:ascii="楷体" w:hAnsi="楷体" w:eastAsia="楷体" w:cs="楷体"/>
          <w:color w:val="auto"/>
          <w:sz w:val="32"/>
          <w:szCs w:val="32"/>
          <w:lang w:val="en-US" w:eastAsia="zh-CN"/>
        </w:rPr>
        <w:t>（二）完善</w:t>
      </w:r>
      <w:r>
        <w:rPr>
          <w:rFonts w:hint="eastAsia" w:ascii="楷体" w:hAnsi="楷体" w:eastAsia="楷体" w:cs="楷体"/>
          <w:color w:val="auto"/>
          <w:sz w:val="32"/>
          <w:szCs w:val="32"/>
        </w:rPr>
        <w:t>内部控制制度。</w:t>
      </w:r>
      <w:r>
        <w:rPr>
          <w:rFonts w:hint="eastAsia" w:ascii="仿宋_GB2312" w:eastAsia="仿宋_GB2312" w:cs="Helvetica"/>
          <w:kern w:val="0"/>
          <w:sz w:val="32"/>
          <w:szCs w:val="32"/>
        </w:rPr>
        <w:t>保证了专项资金管理的审批程序，对专项资金的管理进行了单独核算，确保了专项资金内容真实、准确和完整。没有挪用、占用、挤占、截留等情况。</w:t>
      </w:r>
      <w:r>
        <w:rPr>
          <w:rFonts w:hint="eastAsia" w:ascii="Helvetica" w:hAnsi="Helvetica" w:eastAsia="仿宋_GB2312" w:cs="Helvetica"/>
          <w:kern w:val="0"/>
          <w:sz w:val="32"/>
          <w:szCs w:val="32"/>
        </w:rPr>
        <w:t> </w:t>
      </w:r>
      <w:r>
        <w:rPr>
          <w:rFonts w:hint="eastAsia" w:ascii="仿宋_GB2312" w:eastAsia="仿宋_GB2312" w:cs="Helvetica"/>
          <w:kern w:val="0"/>
          <w:sz w:val="32"/>
          <w:szCs w:val="32"/>
        </w:rPr>
        <w:t>我局对专项资金的管理，认真建立了专项资金的管理制度、财务管理制度和流程</w:t>
      </w:r>
      <w:r>
        <w:rPr>
          <w:rFonts w:hint="eastAsia" w:ascii="仿宋_GB2312" w:eastAsia="仿宋_GB2312" w:cs="Helvetica"/>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lang w:eastAsia="zh-CN"/>
        </w:rPr>
        <w:t>四、下阶段工作计划</w:t>
      </w:r>
    </w:p>
    <w:p>
      <w:pPr>
        <w:ind w:firstLine="640" w:firstLineChars="200"/>
        <w:rPr>
          <w:rFonts w:hint="eastAsia" w:ascii="华文仿宋" w:hAnsi="华文仿宋" w:eastAsia="华文仿宋" w:cs="华文仿宋"/>
          <w:sz w:val="32"/>
          <w:szCs w:val="32"/>
        </w:rPr>
      </w:pPr>
      <w:bookmarkStart w:id="0" w:name="_Hlk107905758"/>
      <w:r>
        <w:rPr>
          <w:rFonts w:hint="eastAsia" w:ascii="华文仿宋" w:hAnsi="华文仿宋" w:eastAsia="华文仿宋" w:cs="华文仿宋"/>
          <w:sz w:val="32"/>
          <w:szCs w:val="32"/>
        </w:rPr>
        <w:t>在今后的工作中，我们将强化对预算执行过程的管理和监督，对预算管理制度加以完善，借助岗位培训学习等途径，强化预算人员的素质能力，以提高预算管理的质量水平。总结资金管理经验，进一步加强和规范经费管理，严格财务管理、节约开支，充分发挥经费使用效益，加快推进</w:t>
      </w:r>
      <w:r>
        <w:rPr>
          <w:rFonts w:hint="eastAsia" w:ascii="华文仿宋" w:hAnsi="华文仿宋" w:eastAsia="华文仿宋" w:cs="华文仿宋"/>
          <w:sz w:val="32"/>
          <w:szCs w:val="32"/>
          <w:lang w:eastAsia="zh-CN"/>
        </w:rPr>
        <w:t>文旅事业高质量</w:t>
      </w:r>
      <w:r>
        <w:rPr>
          <w:rFonts w:hint="eastAsia" w:ascii="华文仿宋" w:hAnsi="华文仿宋" w:eastAsia="华文仿宋" w:cs="华文仿宋"/>
          <w:sz w:val="32"/>
          <w:szCs w:val="32"/>
        </w:rPr>
        <w:t>发展。</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仿宋_GB2312"/>
          <w:i w:val="0"/>
          <w:iCs w:val="0"/>
          <w:caps w:val="0"/>
          <w:color w:val="333333"/>
          <w:spacing w:val="0"/>
          <w:sz w:val="32"/>
          <w:szCs w:val="32"/>
          <w:shd w:val="clear" w:color="auto" w:fill="FFFFFF"/>
          <w:lang w:val="en-US" w:eastAsia="zh-CN"/>
        </w:rPr>
      </w:pPr>
      <w:r>
        <w:rPr>
          <w:rFonts w:hint="eastAsia" w:ascii="仿宋_GB2312" w:hAnsi="宋体" w:eastAsia="仿宋_GB2312" w:cs="仿宋_GB2312"/>
          <w:i w:val="0"/>
          <w:iCs w:val="0"/>
          <w:caps w:val="0"/>
          <w:color w:val="333333"/>
          <w:spacing w:val="0"/>
          <w:sz w:val="32"/>
          <w:szCs w:val="32"/>
          <w:shd w:val="clear" w:color="auto" w:fill="FFFFFF"/>
          <w:lang w:val="en-US" w:eastAsia="zh-CN"/>
        </w:rPr>
        <w:t>沅江市文旅广体局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宋体" w:eastAsia="仿宋_GB2312" w:cs="仿宋_GB2312"/>
          <w:i w:val="0"/>
          <w:iCs w:val="0"/>
          <w:caps w:val="0"/>
          <w:color w:val="333333"/>
          <w:spacing w:val="0"/>
          <w:sz w:val="32"/>
          <w:szCs w:val="32"/>
          <w:shd w:val="clear" w:color="auto" w:fill="FFFFFF"/>
          <w:lang w:val="en-US" w:eastAsia="zh-CN"/>
        </w:rPr>
      </w:pPr>
      <w:r>
        <w:rPr>
          <w:rFonts w:hint="eastAsia" w:ascii="仿宋_GB2312" w:hAnsi="宋体" w:eastAsia="仿宋_GB2312" w:cs="仿宋_GB2312"/>
          <w:i w:val="0"/>
          <w:iCs w:val="0"/>
          <w:caps w:val="0"/>
          <w:color w:val="333333"/>
          <w:spacing w:val="0"/>
          <w:sz w:val="32"/>
          <w:szCs w:val="32"/>
          <w:shd w:val="clear" w:color="auto" w:fill="FFFFFF"/>
          <w:lang w:val="en-US" w:eastAsia="zh-CN"/>
        </w:rPr>
        <w:t>2024年5月17日</w:t>
      </w:r>
    </w:p>
    <w:p>
      <w:pPr>
        <w:ind w:firstLine="640" w:firstLineChars="200"/>
        <w:rPr>
          <w:rFonts w:hint="eastAsia" w:ascii="华文仿宋" w:hAnsi="华文仿宋" w:eastAsia="华文仿宋" w:cs="华文仿宋"/>
          <w:sz w:val="32"/>
          <w:szCs w:val="32"/>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Vijaya"/>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amp;#65533;&amp;#65533;&amp;#65533;&amp;#65533">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Vijaya">
    <w:panose1 w:val="020B0604020202020204"/>
    <w:charset w:val="00"/>
    <w:family w:val="auto"/>
    <w:pitch w:val="default"/>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C8A05"/>
    <w:multiLevelType w:val="singleLevel"/>
    <w:tmpl w:val="819C8A05"/>
    <w:lvl w:ilvl="0" w:tentative="0">
      <w:start w:val="2"/>
      <w:numFmt w:val="chineseCounting"/>
      <w:suff w:val="nothing"/>
      <w:lvlText w:val="（%1）"/>
      <w:lvlJc w:val="left"/>
      <w:rPr>
        <w:rFonts w:hint="eastAsia"/>
      </w:rPr>
    </w:lvl>
  </w:abstractNum>
  <w:abstractNum w:abstractNumId="1">
    <w:nsid w:val="17C0A52A"/>
    <w:multiLevelType w:val="singleLevel"/>
    <w:tmpl w:val="17C0A52A"/>
    <w:lvl w:ilvl="0" w:tentative="0">
      <w:start w:val="2"/>
      <w:numFmt w:val="chineseCounting"/>
      <w:suff w:val="nothing"/>
      <w:lvlText w:val="（%1）"/>
      <w:lvlJc w:val="left"/>
      <w:rPr>
        <w:rFonts w:hint="eastAsia"/>
      </w:rPr>
    </w:lvl>
  </w:abstractNum>
  <w:abstractNum w:abstractNumId="2">
    <w:nsid w:val="262FE599"/>
    <w:multiLevelType w:val="singleLevel"/>
    <w:tmpl w:val="262FE599"/>
    <w:lvl w:ilvl="0" w:tentative="0">
      <w:start w:val="2"/>
      <w:numFmt w:val="decimal"/>
      <w:suff w:val="nothing"/>
      <w:lvlText w:val="%1、"/>
      <w:lvlJc w:val="left"/>
      <w:pPr>
        <w:ind w:left="64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OTIwMjJkYWJhZTMzZDkzYjc1MjE0MzE1MjVlNTUifQ=="/>
  </w:docVars>
  <w:rsids>
    <w:rsidRoot w:val="031B2263"/>
    <w:rsid w:val="011646D7"/>
    <w:rsid w:val="031B2263"/>
    <w:rsid w:val="38115A35"/>
    <w:rsid w:val="5B64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rFonts w:ascii="Calibri" w:hAnsi="Calibri"/>
      <w:kern w:val="0"/>
      <w:sz w:val="18"/>
      <w:szCs w:val="18"/>
    </w:rPr>
  </w:style>
  <w:style w:type="paragraph" w:styleId="3">
    <w:name w:val="index 5"/>
    <w:basedOn w:val="1"/>
    <w:next w:val="1"/>
    <w:qFormat/>
    <w:uiPriority w:val="99"/>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2024-05-18T02:20:00Z</dcterms:created>
  <dc:creator>秋心雨lmr</dc:creator>
  <cp:lastModifiedBy>秋心雨lmr</cp:lastModifiedBy>
  <dcterms:modified xsi:type="dcterms:W3CDTF">2024-05-20T01:56:44Z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5CFD376B19B9469EB9BE7167F7E27E46_11</vt:lpwstr>
  </property>
</Properties>
</file>