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</w:t>
      </w:r>
      <w:r w:rsidR="00137758" w:rsidRPr="00137758">
        <w:rPr>
          <w:rFonts w:hint="eastAsia"/>
          <w:b/>
          <w:sz w:val="32"/>
          <w:szCs w:val="32"/>
        </w:rPr>
        <w:t>沅江市</w:t>
      </w:r>
      <w:proofErr w:type="gramStart"/>
      <w:r w:rsidR="00137758" w:rsidRPr="00137758">
        <w:rPr>
          <w:rFonts w:hint="eastAsia"/>
          <w:b/>
          <w:sz w:val="32"/>
          <w:szCs w:val="32"/>
        </w:rPr>
        <w:t>共华镇宪</w:t>
      </w:r>
      <w:proofErr w:type="gramEnd"/>
      <w:r w:rsidR="00137758" w:rsidRPr="00137758">
        <w:rPr>
          <w:rFonts w:hint="eastAsia"/>
          <w:b/>
          <w:sz w:val="32"/>
          <w:szCs w:val="32"/>
        </w:rPr>
        <w:t>成小学</w:t>
      </w:r>
      <w:r w:rsidRPr="00DA169C">
        <w:rPr>
          <w:rFonts w:hint="eastAsia"/>
          <w:b/>
          <w:sz w:val="32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、全面贯彻党的教育方针，稳步提高教育质量，中考成绩力争进入区、乡镇前列。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</w:t>
      </w:r>
      <w:proofErr w:type="gramStart"/>
      <w:r w:rsidRPr="00DA169C">
        <w:rPr>
          <w:rFonts w:hint="eastAsia"/>
        </w:rPr>
        <w:t>体卫艺和</w:t>
      </w:r>
      <w:proofErr w:type="gramEnd"/>
      <w:r w:rsidRPr="00DA169C">
        <w:rPr>
          <w:rFonts w:hint="eastAsia"/>
        </w:rPr>
        <w:t>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、加强校本教研，搞好年轻教师的培养，让年轻教师尽快成长，宣传推介娄星教育、茶园教育，让人民群众、各级干部了解教育、关心教育、支持教育。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251.93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137758">
        <w:rPr>
          <w:rFonts w:hint="eastAsia"/>
          <w:u w:val="single"/>
        </w:rPr>
        <w:t>225.92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24.04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0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137758">
        <w:rPr>
          <w:rFonts w:hint="eastAsia"/>
          <w:u w:val="single"/>
        </w:rPr>
        <w:t xml:space="preserve">1.97 </w:t>
      </w:r>
      <w:r w:rsidR="0008409E" w:rsidRPr="00DA169C">
        <w:rPr>
          <w:rFonts w:hint="eastAsia"/>
          <w:u w:val="single"/>
        </w:rPr>
        <w:t xml:space="preserve">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137758">
        <w:rPr>
          <w:rFonts w:hint="eastAsia"/>
          <w:u w:val="single"/>
        </w:rPr>
        <w:t>243.28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137758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08409E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8.65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  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249.96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</w:t>
      </w:r>
      <w:proofErr w:type="gramStart"/>
      <w:r w:rsidRPr="00DA169C">
        <w:rPr>
          <w:rFonts w:hint="eastAsia"/>
        </w:rPr>
        <w:t>系</w:t>
      </w:r>
      <w:r w:rsidR="00327943" w:rsidRPr="00DA169C">
        <w:rPr>
          <w:rFonts w:hint="eastAsia"/>
        </w:rPr>
        <w:t>保障</w:t>
      </w:r>
      <w:proofErr w:type="gramEnd"/>
      <w:r w:rsidR="00327943" w:rsidRPr="00DA169C">
        <w:rPr>
          <w:rFonts w:hint="eastAsia"/>
        </w:rPr>
        <w:t>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225.92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24.04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7A5BC2">
        <w:rPr>
          <w:rFonts w:hint="eastAsia"/>
          <w:u w:val="single"/>
        </w:rPr>
        <w:t>242.68</w:t>
      </w:r>
      <w:bookmarkStart w:id="0" w:name="_GoBack"/>
      <w:bookmarkEnd w:id="0"/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 </w:t>
      </w:r>
      <w:r w:rsidR="009707D7">
        <w:rPr>
          <w:rFonts w:hint="eastAsia"/>
          <w:u w:val="single"/>
        </w:rPr>
        <w:t>-53.32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930C7F">
        <w:rPr>
          <w:rFonts w:hint="eastAsia"/>
        </w:rPr>
        <w:t>教师</w:t>
      </w:r>
      <w:r w:rsidR="009707D7">
        <w:rPr>
          <w:rFonts w:hint="eastAsia"/>
        </w:rPr>
        <w:t>和学生</w:t>
      </w:r>
      <w:r w:rsidR="00930C7F">
        <w:rPr>
          <w:rFonts w:hint="eastAsia"/>
        </w:rPr>
        <w:t>人数减少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A9540D">
        <w:rPr>
          <w:rFonts w:hint="eastAsia"/>
          <w:u w:val="single"/>
        </w:rPr>
        <w:t>242.68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</w:t>
      </w:r>
      <w:r w:rsidR="00A9540D">
        <w:rPr>
          <w:rFonts w:hint="eastAsia"/>
          <w:u w:val="single"/>
        </w:rPr>
        <w:t>242.68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</w:t>
      </w:r>
      <w:r w:rsidR="009707D7">
        <w:rPr>
          <w:rFonts w:hint="eastAsia"/>
          <w:u w:val="single"/>
        </w:rPr>
        <w:t>24</w:t>
      </w:r>
      <w:r w:rsidR="00A9540D">
        <w:rPr>
          <w:rFonts w:hint="eastAsia"/>
          <w:u w:val="single"/>
        </w:rPr>
        <w:t>0.71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9707D7">
        <w:rPr>
          <w:rFonts w:hint="eastAsia"/>
          <w:u w:val="single"/>
        </w:rPr>
        <w:t>1.97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9707D7">
        <w:rPr>
          <w:rFonts w:hint="eastAsia"/>
          <w:u w:val="single"/>
        </w:rPr>
        <w:t>2</w:t>
      </w:r>
      <w:r w:rsidR="00A9540D">
        <w:rPr>
          <w:rFonts w:hint="eastAsia"/>
          <w:u w:val="single"/>
        </w:rPr>
        <w:t>40.71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A9540D">
        <w:rPr>
          <w:rFonts w:hint="eastAsia"/>
          <w:u w:val="single"/>
        </w:rPr>
        <w:t>216.66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9707D7">
        <w:rPr>
          <w:rFonts w:hint="eastAsia"/>
          <w:u w:val="single"/>
        </w:rPr>
        <w:t>24.04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9707D7">
        <w:rPr>
          <w:rFonts w:hint="eastAsia"/>
          <w:u w:val="single"/>
        </w:rPr>
        <w:t>1.97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0B2B8F">
        <w:rPr>
          <w:rFonts w:hint="eastAsia"/>
          <w:u w:val="single"/>
        </w:rPr>
        <w:t>1.97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0B2B8F">
        <w:rPr>
          <w:rFonts w:hint="eastAsia"/>
          <w:color w:val="FF0000"/>
          <w:u w:val="single"/>
        </w:rPr>
        <w:t>98</w:t>
      </w:r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lastRenderedPageBreak/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AA" w:rsidRDefault="00B56CAA" w:rsidP="00CF33BA">
      <w:r>
        <w:separator/>
      </w:r>
    </w:p>
  </w:endnote>
  <w:endnote w:type="continuationSeparator" w:id="0">
    <w:p w:rsidR="00B56CAA" w:rsidRDefault="00B56CAA" w:rsidP="00C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AA" w:rsidRDefault="00B56CAA" w:rsidP="00CF33BA">
      <w:r>
        <w:separator/>
      </w:r>
    </w:p>
  </w:footnote>
  <w:footnote w:type="continuationSeparator" w:id="0">
    <w:p w:rsidR="00B56CAA" w:rsidRDefault="00B56CAA" w:rsidP="00CF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3BA"/>
    <w:rsid w:val="0008409E"/>
    <w:rsid w:val="000863BC"/>
    <w:rsid w:val="000B2B8F"/>
    <w:rsid w:val="00137758"/>
    <w:rsid w:val="001E5342"/>
    <w:rsid w:val="00263CFE"/>
    <w:rsid w:val="00327943"/>
    <w:rsid w:val="0041643F"/>
    <w:rsid w:val="004244BC"/>
    <w:rsid w:val="005B5C32"/>
    <w:rsid w:val="007464B7"/>
    <w:rsid w:val="007A5BC2"/>
    <w:rsid w:val="007A784F"/>
    <w:rsid w:val="007E19B7"/>
    <w:rsid w:val="008B7E33"/>
    <w:rsid w:val="00930C7F"/>
    <w:rsid w:val="009707D7"/>
    <w:rsid w:val="00A74A7C"/>
    <w:rsid w:val="00A9540D"/>
    <w:rsid w:val="00B56CAA"/>
    <w:rsid w:val="00BA03BF"/>
    <w:rsid w:val="00C17B7D"/>
    <w:rsid w:val="00C22276"/>
    <w:rsid w:val="00C4130D"/>
    <w:rsid w:val="00C97DB3"/>
    <w:rsid w:val="00CF33BA"/>
    <w:rsid w:val="00D035EB"/>
    <w:rsid w:val="00D35F6C"/>
    <w:rsid w:val="00D76AC4"/>
    <w:rsid w:val="00DA169C"/>
    <w:rsid w:val="00E40F5E"/>
    <w:rsid w:val="00EB726C"/>
    <w:rsid w:val="00F07285"/>
    <w:rsid w:val="00FB758D"/>
    <w:rsid w:val="00FC3D04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23</cp:revision>
  <dcterms:created xsi:type="dcterms:W3CDTF">2024-04-24T03:21:00Z</dcterms:created>
  <dcterms:modified xsi:type="dcterms:W3CDTF">2024-05-09T08:14:00Z</dcterms:modified>
</cp:coreProperties>
</file>