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黑体"/>
          <w:kern w:val="0"/>
          <w:sz w:val="32"/>
          <w:szCs w:val="32"/>
        </w:rPr>
      </w:pPr>
      <w:r>
        <w:rPr>
          <w:rFonts w:eastAsia="黑体"/>
          <w:kern w:val="0"/>
          <w:sz w:val="32"/>
          <w:szCs w:val="32"/>
        </w:rPr>
        <w:t>附件</w:t>
      </w:r>
      <w:r>
        <w:rPr>
          <w:rFonts w:hint="eastAsia" w:eastAsia="黑体"/>
          <w:kern w:val="0"/>
          <w:sz w:val="32"/>
          <w:szCs w:val="32"/>
        </w:rPr>
        <w:t>5</w:t>
      </w:r>
    </w:p>
    <w:p>
      <w:pPr>
        <w:jc w:val="center"/>
        <w:rPr>
          <w:rFonts w:eastAsia="方正小标宋_GBK"/>
          <w:sz w:val="48"/>
          <w:szCs w:val="48"/>
        </w:rPr>
      </w:pPr>
      <w:r>
        <w:rPr>
          <w:rFonts w:eastAsia="方正小标宋_GBK"/>
          <w:sz w:val="48"/>
          <w:szCs w:val="48"/>
        </w:rPr>
        <w:t>2023年度</w:t>
      </w:r>
      <w:r>
        <w:rPr>
          <w:rFonts w:hint="eastAsia" w:eastAsia="方正小标宋_GBK"/>
          <w:sz w:val="48"/>
          <w:szCs w:val="48"/>
        </w:rPr>
        <w:t>沅江市</w:t>
      </w:r>
      <w:r>
        <w:rPr>
          <w:rFonts w:hint="eastAsia" w:eastAsia="方正小标宋_GBK"/>
          <w:sz w:val="48"/>
          <w:szCs w:val="48"/>
          <w:lang w:eastAsia="zh-CN"/>
        </w:rPr>
        <w:t>人民代表大会常务委会</w:t>
      </w:r>
      <w:r>
        <w:rPr>
          <w:rFonts w:eastAsia="方正小标宋_GBK"/>
          <w:sz w:val="48"/>
          <w:szCs w:val="48"/>
        </w:rPr>
        <w:t>项目支出绩效自评报告</w:t>
      </w:r>
    </w:p>
    <w:p>
      <w:pPr>
        <w:tabs>
          <w:tab w:val="left" w:pos="1603"/>
        </w:tabs>
        <w:jc w:val="left"/>
      </w:pPr>
      <w:r>
        <w:t> </w:t>
      </w:r>
    </w:p>
    <w:p>
      <w:pPr>
        <w:tabs>
          <w:tab w:val="left" w:pos="1603"/>
        </w:tabs>
        <w:jc w:val="left"/>
      </w:pPr>
      <w:r>
        <w:t> </w:t>
      </w:r>
    </w:p>
    <w:p>
      <w:pPr>
        <w:tabs>
          <w:tab w:val="left" w:pos="1603"/>
        </w:tabs>
        <w:jc w:val="left"/>
      </w:pPr>
    </w:p>
    <w:p>
      <w:pPr>
        <w:tabs>
          <w:tab w:val="left" w:pos="1603"/>
        </w:tabs>
        <w:jc w:val="left"/>
      </w:pPr>
    </w:p>
    <w:p>
      <w:pPr>
        <w:ind w:firstLine="720" w:firstLineChars="200"/>
        <w:rPr>
          <w:rFonts w:eastAsia="黑体"/>
          <w:sz w:val="36"/>
          <w:szCs w:val="36"/>
        </w:rPr>
      </w:pPr>
    </w:p>
    <w:p>
      <w:pPr>
        <w:ind w:firstLine="720" w:firstLineChars="200"/>
        <w:rPr>
          <w:rFonts w:eastAsia="黑体"/>
          <w:sz w:val="36"/>
          <w:szCs w:val="36"/>
        </w:rPr>
      </w:pPr>
    </w:p>
    <w:p>
      <w:pPr>
        <w:ind w:firstLine="720" w:firstLineChars="200"/>
        <w:rPr>
          <w:rFonts w:eastAsia="黑体"/>
          <w:sz w:val="36"/>
          <w:szCs w:val="36"/>
        </w:rPr>
      </w:pPr>
    </w:p>
    <w:p>
      <w:pPr>
        <w:ind w:firstLine="720" w:firstLineChars="200"/>
        <w:rPr>
          <w:rFonts w:eastAsia="黑体"/>
          <w:sz w:val="36"/>
          <w:szCs w:val="36"/>
        </w:rPr>
      </w:pPr>
    </w:p>
    <w:p>
      <w:pPr>
        <w:ind w:firstLine="720" w:firstLineChars="200"/>
        <w:rPr>
          <w:rFonts w:eastAsia="黑体"/>
          <w:sz w:val="36"/>
          <w:szCs w:val="36"/>
        </w:rPr>
      </w:pPr>
    </w:p>
    <w:p>
      <w:pPr>
        <w:ind w:firstLine="720" w:firstLineChars="200"/>
        <w:rPr>
          <w:rFonts w:eastAsia="黑体"/>
          <w:sz w:val="36"/>
          <w:szCs w:val="36"/>
        </w:rPr>
      </w:pPr>
    </w:p>
    <w:p>
      <w:pPr>
        <w:ind w:firstLine="720" w:firstLineChars="200"/>
        <w:rPr>
          <w:rFonts w:eastAsia="黑体"/>
          <w:sz w:val="36"/>
          <w:szCs w:val="36"/>
        </w:rPr>
      </w:pPr>
    </w:p>
    <w:p>
      <w:pPr>
        <w:ind w:firstLine="720" w:firstLineChars="200"/>
        <w:rPr>
          <w:rFonts w:eastAsia="黑体"/>
          <w:sz w:val="36"/>
          <w:szCs w:val="36"/>
        </w:rPr>
      </w:pPr>
    </w:p>
    <w:p>
      <w:pPr>
        <w:ind w:firstLine="720" w:firstLineChars="200"/>
        <w:rPr>
          <w:rFonts w:eastAsia="黑体"/>
          <w:sz w:val="36"/>
          <w:szCs w:val="36"/>
        </w:rPr>
      </w:pPr>
    </w:p>
    <w:p>
      <w:pPr>
        <w:ind w:firstLine="720" w:firstLineChars="200"/>
        <w:jc w:val="center"/>
        <w:rPr>
          <w:rFonts w:eastAsia="黑体"/>
          <w:sz w:val="36"/>
          <w:szCs w:val="36"/>
        </w:rPr>
      </w:pPr>
      <w:r>
        <w:rPr>
          <w:rFonts w:eastAsia="黑体"/>
          <w:sz w:val="36"/>
          <w:szCs w:val="36"/>
        </w:rPr>
        <w:t>部门（单位）名称：（盖章）</w:t>
      </w:r>
      <w:r>
        <w:rPr>
          <w:rFonts w:hint="eastAsia" w:eastAsia="黑体"/>
          <w:sz w:val="36"/>
          <w:szCs w:val="36"/>
        </w:rPr>
        <w:t xml:space="preserve">     </w:t>
      </w:r>
    </w:p>
    <w:p>
      <w:pPr>
        <w:ind w:firstLine="2520" w:firstLineChars="700"/>
        <w:rPr>
          <w:rFonts w:eastAsia="黑体"/>
          <w:sz w:val="36"/>
          <w:szCs w:val="36"/>
        </w:rPr>
      </w:pPr>
    </w:p>
    <w:p>
      <w:pPr>
        <w:ind w:firstLine="3240" w:firstLineChars="900"/>
        <w:rPr>
          <w:rFonts w:eastAsia="黑体"/>
          <w:sz w:val="36"/>
          <w:szCs w:val="36"/>
        </w:rPr>
      </w:pPr>
      <w:r>
        <w:rPr>
          <w:rFonts w:hint="eastAsia" w:eastAsia="黑体"/>
          <w:sz w:val="36"/>
          <w:szCs w:val="36"/>
        </w:rPr>
        <w:t>2024</w:t>
      </w:r>
      <w:r>
        <w:rPr>
          <w:rFonts w:eastAsia="黑体"/>
          <w:sz w:val="36"/>
          <w:szCs w:val="36"/>
        </w:rPr>
        <w:t>年</w:t>
      </w:r>
      <w:r>
        <w:rPr>
          <w:rFonts w:hint="eastAsia" w:eastAsia="黑体"/>
          <w:sz w:val="36"/>
          <w:szCs w:val="36"/>
        </w:rPr>
        <w:t>4</w:t>
      </w:r>
      <w:r>
        <w:rPr>
          <w:rFonts w:eastAsia="黑体"/>
          <w:sz w:val="36"/>
          <w:szCs w:val="36"/>
        </w:rPr>
        <w:t>月</w:t>
      </w:r>
      <w:r>
        <w:rPr>
          <w:rFonts w:hint="eastAsia" w:eastAsia="黑体"/>
          <w:sz w:val="36"/>
          <w:szCs w:val="36"/>
        </w:rPr>
        <w:t>29</w:t>
      </w:r>
      <w:r>
        <w:rPr>
          <w:rFonts w:eastAsia="黑体"/>
          <w:sz w:val="36"/>
          <w:szCs w:val="36"/>
        </w:rPr>
        <w:t>日</w:t>
      </w:r>
    </w:p>
    <w:p>
      <w:pPr>
        <w:ind w:firstLine="720" w:firstLineChars="200"/>
        <w:rPr>
          <w:rFonts w:eastAsia="黑体"/>
          <w:sz w:val="36"/>
          <w:szCs w:val="36"/>
        </w:rPr>
      </w:pPr>
    </w:p>
    <w:p>
      <w:pPr>
        <w:jc w:val="center"/>
        <w:rPr>
          <w:rFonts w:eastAsia="仿宋_GB2312"/>
          <w:sz w:val="32"/>
          <w:szCs w:val="32"/>
        </w:rPr>
      </w:pPr>
    </w:p>
    <w:p>
      <w:pPr>
        <w:jc w:val="center"/>
        <w:rPr>
          <w:rFonts w:eastAsia="仿宋_GB2312"/>
          <w:sz w:val="32"/>
          <w:szCs w:val="32"/>
        </w:rPr>
      </w:pPr>
      <w:r>
        <w:rPr>
          <w:rFonts w:eastAsia="仿宋_GB2312"/>
          <w:sz w:val="32"/>
          <w:szCs w:val="32"/>
        </w:rPr>
        <w:t>（此面为封面）</w:t>
      </w:r>
    </w:p>
    <w:p>
      <w:pPr>
        <w:jc w:val="center"/>
        <w:rPr>
          <w:rFonts w:eastAsia="仿宋_GB2312"/>
          <w:sz w:val="32"/>
          <w:szCs w:val="32"/>
        </w:rPr>
      </w:pPr>
    </w:p>
    <w:p>
      <w:pPr>
        <w:spacing w:line="600" w:lineRule="exact"/>
        <w:jc w:val="center"/>
        <w:rPr>
          <w:rFonts w:hint="eastAsia" w:ascii="方正小标宋简体" w:hAnsi="方正小标宋简体" w:eastAsia="方正小标宋简体" w:cs="方正小标宋简体"/>
          <w:sz w:val="44"/>
          <w:szCs w:val="44"/>
          <w:lang w:eastAsia="zh-CN"/>
        </w:rPr>
      </w:pPr>
      <w:r>
        <w:rPr>
          <w:rFonts w:ascii="方正小标宋简体" w:hAnsi="方正小标宋简体" w:eastAsia="方正小标宋简体" w:cs="方正小标宋简体"/>
          <w:sz w:val="44"/>
          <w:szCs w:val="44"/>
        </w:rPr>
        <w:t>2023年度</w:t>
      </w:r>
      <w:r>
        <w:rPr>
          <w:rFonts w:hint="eastAsia" w:ascii="方正小标宋简体" w:hAnsi="方正小标宋简体" w:eastAsia="方正小标宋简体" w:cs="方正小标宋简体"/>
          <w:sz w:val="44"/>
          <w:szCs w:val="44"/>
          <w:lang w:eastAsia="zh-CN"/>
        </w:rPr>
        <w:t>沅江市人民代表大会常务委员会</w:t>
      </w:r>
    </w:p>
    <w:p>
      <w:pPr>
        <w:spacing w:line="600" w:lineRule="exact"/>
        <w:ind w:firstLine="880" w:firstLineChars="200"/>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项目支出绩效评价报告</w:t>
      </w:r>
    </w:p>
    <w:p>
      <w:pPr>
        <w:spacing w:line="600" w:lineRule="exact"/>
        <w:ind w:firstLine="640" w:firstLineChars="200"/>
        <w:rPr>
          <w:rFonts w:eastAsia="黑体"/>
          <w:sz w:val="32"/>
          <w:szCs w:val="32"/>
        </w:rPr>
      </w:pPr>
      <w:r>
        <w:rPr>
          <w:rFonts w:eastAsia="黑体"/>
          <w:sz w:val="32"/>
          <w:szCs w:val="32"/>
        </w:rPr>
        <w:t>一、项目支出基本情况</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（一）项目支出概况。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沅江市</w:t>
      </w:r>
      <w:r>
        <w:rPr>
          <w:rFonts w:hint="eastAsia" w:ascii="仿宋_GB2312" w:hAnsi="仿宋_GB2312" w:eastAsia="仿宋_GB2312" w:cs="仿宋_GB2312"/>
          <w:sz w:val="32"/>
          <w:szCs w:val="32"/>
          <w:lang w:eastAsia="zh-CN"/>
        </w:rPr>
        <w:t>人大</w:t>
      </w:r>
      <w:r>
        <w:rPr>
          <w:rFonts w:hint="eastAsia" w:ascii="仿宋_GB2312" w:hAnsi="仿宋_GB2312" w:eastAsia="仿宋_GB2312" w:cs="仿宋_GB2312"/>
          <w:sz w:val="32"/>
          <w:szCs w:val="32"/>
        </w:rPr>
        <w:t>2023年参与绩效评价的项目共</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个，共计</w:t>
      </w:r>
      <w:r>
        <w:rPr>
          <w:rFonts w:hint="eastAsia" w:ascii="仿宋_GB2312" w:hAnsi="仿宋_GB2312" w:eastAsia="仿宋_GB2312" w:cs="仿宋_GB2312"/>
          <w:sz w:val="32"/>
          <w:szCs w:val="32"/>
          <w:lang w:val="en-US" w:eastAsia="zh-CN"/>
        </w:rPr>
        <w:t>336.59</w:t>
      </w:r>
      <w:r>
        <w:rPr>
          <w:rFonts w:hint="eastAsia" w:ascii="仿宋_GB2312" w:hAnsi="仿宋_GB2312" w:eastAsia="仿宋_GB2312" w:cs="仿宋_GB2312"/>
          <w:sz w:val="32"/>
          <w:szCs w:val="32"/>
        </w:rPr>
        <w:t>万元。具体情况如下：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人大常委会议及主任会议</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听取听取和审议政府有关重大事项和财政预算编制、预算执行、预算调整、决算等报告召开常务会议和主任会议，</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val="en-US" w:eastAsia="zh-CN"/>
        </w:rPr>
        <w:t>19.2</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rPr>
        <w:t>调研视察工作专项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主要用于人民代表大会代表根据安排，围绕经济社会发展和关系人民群众切身利益、社会普遍关注的重大问题，开展专题调研；人大代表参加视察、专题调研活动，经费</w:t>
      </w:r>
      <w:r>
        <w:rPr>
          <w:rFonts w:hint="eastAsia" w:ascii="仿宋_GB2312" w:hAnsi="仿宋_GB2312" w:eastAsia="仿宋_GB2312" w:cs="仿宋_GB2312"/>
          <w:sz w:val="32"/>
          <w:szCs w:val="32"/>
          <w:lang w:val="en-US" w:eastAsia="zh-CN"/>
        </w:rPr>
        <w:t>33.6</w:t>
      </w:r>
      <w:r>
        <w:rPr>
          <w:rFonts w:hint="eastAsia" w:ascii="仿宋_GB2312" w:hAnsi="仿宋_GB2312" w:eastAsia="仿宋_GB2312" w:cs="仿宋_GB2312"/>
          <w:sz w:val="32"/>
          <w:szCs w:val="32"/>
          <w:lang w:eastAsia="zh-CN"/>
        </w:rPr>
        <w:t>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3.人大执法、监督专项。</w:t>
      </w:r>
      <w:r>
        <w:rPr>
          <w:rFonts w:hint="eastAsia" w:ascii="仿宋_GB2312" w:hAnsi="仿宋_GB2312" w:eastAsia="仿宋_GB2312" w:cs="仿宋_GB2312"/>
          <w:sz w:val="32"/>
          <w:szCs w:val="32"/>
          <w:lang w:eastAsia="zh-CN"/>
        </w:rPr>
        <w:t>主要用于监督政府及部门有序开展监督和执法检查工作；配合上级人大开展立法、执法检查与监督工作；接待来信来访工作，搞好来信来访工作的调查；开展对经济社会发展情况的监督工作、深化对全口径预算的审查监督、执法检查等工作</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4.一般行政管理事务专项。主要用于</w:t>
      </w:r>
      <w:r>
        <w:rPr>
          <w:rFonts w:hint="eastAsia" w:ascii="仿宋_GB2312" w:hAnsi="仿宋_GB2312" w:eastAsia="仿宋_GB2312" w:cs="仿宋_GB2312"/>
          <w:sz w:val="32"/>
          <w:szCs w:val="32"/>
        </w:rPr>
        <w:t>人大研究工作、人大常委会决定决议督查工作、上级人大中心工作及市委、政府中心工作、党建工作、编印人大通讯、人大公报及宣传报道奖励等工作，经费</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预算联网监督运行专项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主要用于</w:t>
      </w:r>
      <w:r>
        <w:rPr>
          <w:rFonts w:hint="eastAsia" w:ascii="仿宋_GB2312" w:hAnsi="仿宋_GB2312" w:eastAsia="仿宋_GB2312" w:cs="仿宋_GB2312"/>
          <w:sz w:val="32"/>
          <w:szCs w:val="32"/>
        </w:rPr>
        <w:t>预算联网监督中心会议室相关系统和硬件维护升级；推进预算联网监督工作，提高预算审查监督实效，经费</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6.人大业务专项。</w:t>
      </w:r>
      <w:r>
        <w:rPr>
          <w:rFonts w:hint="eastAsia" w:ascii="仿宋_GB2312" w:hAnsi="仿宋_GB2312" w:eastAsia="仿宋_GB2312" w:cs="仿宋_GB2312"/>
          <w:sz w:val="32"/>
          <w:szCs w:val="32"/>
          <w:lang w:eastAsia="zh-CN"/>
        </w:rPr>
        <w:t>主要用于</w:t>
      </w:r>
      <w:r>
        <w:rPr>
          <w:rFonts w:hint="eastAsia" w:ascii="仿宋_GB2312" w:hAnsi="仿宋_GB2312" w:eastAsia="仿宋_GB2312" w:cs="仿宋_GB2312"/>
          <w:sz w:val="32"/>
          <w:szCs w:val="32"/>
        </w:rPr>
        <w:t>召开全市第十八届人民代表大会第三次会议、人大参训学习、代表履职培训等工作，经费</w:t>
      </w:r>
      <w:r>
        <w:rPr>
          <w:rFonts w:hint="eastAsia" w:ascii="仿宋_GB2312" w:hAnsi="仿宋_GB2312" w:eastAsia="仿宋_GB2312" w:cs="仿宋_GB2312"/>
          <w:sz w:val="32"/>
          <w:szCs w:val="32"/>
          <w:lang w:val="en-US" w:eastAsia="zh-CN"/>
        </w:rPr>
        <w:t>195.79</w:t>
      </w:r>
      <w:r>
        <w:rPr>
          <w:rFonts w:hint="eastAsia" w:ascii="仿宋_GB2312" w:hAnsi="仿宋_GB2312" w:eastAsia="仿宋_GB2312" w:cs="仿宋_GB2312"/>
          <w:sz w:val="32"/>
          <w:szCs w:val="32"/>
        </w:rPr>
        <w:t>万元。</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（二）绩效目标设定及指标完成情况</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32"/>
          <w:szCs w:val="32"/>
          <w:lang w:val="en-US" w:eastAsia="zh-CN"/>
        </w:rPr>
      </w:pP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lang w:val="en-US" w:eastAsia="zh-CN"/>
        </w:rPr>
        <w:t xml:space="preserve"> 2023年是全面贯彻落实党的二十大精神的开局之年，也是沅江建设洞庭湖区核心城市的加速推进之年。一年来，市人大常委会在市委的坚强领导下，围绕学习贯彻党的二十大精神和市第十三次党代会确定的目标任务，认真履行宪法和法律赋予的职责，始终与市委同向、与政府同力、与人民同心，各项工作在推进中深化、在创新中完善、在提升中发展，在推动沅江高质量发展、建设洞庭湖区核心城市中展现了人大担当。</w:t>
      </w:r>
    </w:p>
    <w:p>
      <w:pPr>
        <w:numPr>
          <w:ilvl w:val="0"/>
          <w:numId w:val="0"/>
        </w:numPr>
        <w:spacing w:line="600" w:lineRule="exact"/>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人大常委会议及主任会议</w:t>
      </w:r>
      <w:r>
        <w:rPr>
          <w:rFonts w:ascii="仿宋_GB2312" w:hAnsi="仿宋_GB2312" w:eastAsia="仿宋_GB2312" w:cs="仿宋_GB2312"/>
          <w:b/>
          <w:bCs/>
          <w:sz w:val="32"/>
          <w:szCs w:val="32"/>
        </w:rPr>
        <w:t>。</w:t>
      </w:r>
      <w:r>
        <w:rPr>
          <w:rFonts w:hint="eastAsia" w:ascii="仿宋_GB2312" w:hAnsi="仿宋_GB2312" w:eastAsia="仿宋_GB2312" w:cs="仿宋_GB2312"/>
          <w:sz w:val="32"/>
          <w:szCs w:val="32"/>
        </w:rPr>
        <w:t>全年共召开常委会会议7次、主任会议12次，听取审议专项工作报告17项，组织执法检查、集中视察和专题询问9次。依法任免国家机关工作人员56人次</w:t>
      </w:r>
      <w:r>
        <w:rPr>
          <w:rFonts w:hint="eastAsia" w:ascii="仿宋_GB2312" w:hAnsi="仿宋_GB2312" w:eastAsia="仿宋_GB2312" w:cs="仿宋_GB2312"/>
          <w:sz w:val="32"/>
          <w:szCs w:val="32"/>
          <w:lang w:eastAsia="zh-CN"/>
        </w:rPr>
        <w:t>。评分为</w:t>
      </w:r>
      <w:r>
        <w:rPr>
          <w:rFonts w:hint="eastAsia" w:ascii="仿宋_GB2312" w:hAnsi="仿宋_GB2312" w:eastAsia="仿宋_GB2312" w:cs="仿宋_GB2312"/>
          <w:sz w:val="32"/>
          <w:szCs w:val="32"/>
          <w:lang w:val="en-US" w:eastAsia="zh-CN"/>
        </w:rPr>
        <w:t>96分。</w:t>
      </w:r>
    </w:p>
    <w:p>
      <w:pPr>
        <w:numPr>
          <w:ilvl w:val="0"/>
          <w:numId w:val="0"/>
        </w:numPr>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kern w:val="0"/>
          <w:sz w:val="32"/>
          <w:szCs w:val="32"/>
        </w:rPr>
        <w:t>调研视察工作专项</w:t>
      </w:r>
      <w:r>
        <w:rPr>
          <w:rFonts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深入重要经济部门和重点企业调研，听取审议2023年上半年国民经济和社会发展计划执行情况报告、十四五规划中期评估报告，推动计划有序执行，依法维护好发展“大盘子”。听取审议国有资产管理情况的综合报告、“三高四新”财源建设情况报告，督促市人民政府规范国有资产管理、深化财源建设，依法守护政府“家底子”。听取审议2023年市本级部门预算报告、2022年市本级财政预算执行和其他财政收支审计查出问题整改情况的报告、2023年预算调整方案报告，提出加强预算管理、提高财政资金使用效益、优先保障“三保”支出、严防政府债务风险等建议，依法监管好政府“钱袋子”。</w:t>
      </w:r>
      <w:r>
        <w:rPr>
          <w:rFonts w:hint="eastAsia" w:ascii="仿宋_GB2312" w:hAnsi="仿宋_GB2312" w:eastAsia="仿宋_GB2312" w:cs="仿宋_GB2312"/>
          <w:sz w:val="32"/>
          <w:szCs w:val="32"/>
          <w:lang w:eastAsia="zh-CN"/>
        </w:rPr>
        <w:t>评分为</w:t>
      </w:r>
      <w:r>
        <w:rPr>
          <w:rFonts w:hint="eastAsia" w:ascii="仿宋_GB2312" w:hAnsi="仿宋_GB2312" w:eastAsia="仿宋_GB2312" w:cs="仿宋_GB2312"/>
          <w:sz w:val="32"/>
          <w:szCs w:val="32"/>
          <w:lang w:val="en-US" w:eastAsia="zh-CN"/>
        </w:rPr>
        <w:t>96分。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人大执法、监督专项</w:t>
      </w:r>
      <w:r>
        <w:rPr>
          <w:rFonts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加强对法律法规执行情况的检查监督，先后开展安全生产“一法一条例一规定”、土壤污染防治“一法一办法”、《中华人民共和国未成年人保护法》《中华人民共和国归侨侨眷权益保护法》《宗教事务条例》《益阳市文明行为促进条例》等法律法规贯彻实施情况的执法检查，推动法律法规在我市全面有效正确实施。加大法律法规宣传力度，先后组织开展义务教育“两法一意见”、《中华人民共和国噪声污染防治法》《生态环境损害赔偿管理规定》的宣传活动，通过办巡展、开讲座、发资料、建平台、出板报等方式，普及</w:t>
      </w:r>
      <w:r>
        <w:rPr>
          <w:rFonts w:hint="default" w:ascii="仿宋_GB2312" w:hAnsi="仿宋_GB2312" w:eastAsia="仿宋_GB2312" w:cs="仿宋_GB2312"/>
          <w:sz w:val="32"/>
          <w:szCs w:val="32"/>
          <w:lang w:val="en-US" w:eastAsia="zh-CN"/>
        </w:rPr>
        <w:t>法律知识</w:t>
      </w:r>
      <w:r>
        <w:rPr>
          <w:rFonts w:hint="eastAsia" w:ascii="仿宋_GB2312" w:hAnsi="仿宋_GB2312" w:eastAsia="仿宋_GB2312" w:cs="仿宋_GB2312"/>
          <w:sz w:val="32"/>
          <w:szCs w:val="32"/>
          <w:lang w:val="en-US" w:eastAsia="zh-CN"/>
        </w:rPr>
        <w:t>，深化群众法治观念和法治意识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组织开展“12·4”国家宪法日宪法宣誓活动，进一步弘扬宪法精神，强化宪法意识，营造尊法学法守法用法的浓厚氛围。扎实开展规范性文件备案审查工作，推动我市规范性文件质量不断提高。做好人大信访工作，抓实信访督办，全年共受理接待群众来信来访12起。</w:t>
      </w:r>
      <w:r>
        <w:rPr>
          <w:rFonts w:hint="eastAsia" w:ascii="仿宋_GB2312" w:hAnsi="仿宋_GB2312" w:eastAsia="仿宋_GB2312" w:cs="仿宋_GB2312"/>
          <w:sz w:val="32"/>
          <w:szCs w:val="32"/>
          <w:lang w:eastAsia="zh-CN"/>
        </w:rPr>
        <w:t>评分为</w:t>
      </w:r>
      <w:r>
        <w:rPr>
          <w:rFonts w:hint="eastAsia" w:ascii="仿宋_GB2312" w:hAnsi="仿宋_GB2312" w:eastAsia="仿宋_GB2312" w:cs="仿宋_GB2312"/>
          <w:sz w:val="32"/>
          <w:szCs w:val="32"/>
          <w:lang w:val="en-US" w:eastAsia="zh-CN"/>
        </w:rPr>
        <w:t>96分。</w:t>
      </w:r>
    </w:p>
    <w:p>
      <w:pPr>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一般行政管理事务专项</w:t>
      </w:r>
      <w:r>
        <w:rPr>
          <w:rFonts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出台《沅江市人大代表联络站（点）考评方案》，按照“管用、好用、常用”要求，推动全市38个代表联络站点“建、管、用”提质增效，精心打造践行全过程人民民主的代表履职平台，促进代表活动经常化、制度化、规范化。深化“人大代表活动日”活动，每月制定活动计划，常委会班子成员带头，深入基层一线和站点，听民意、察民情、解民忧，各级代表全年入站开展活动1017人次，走访、接待群众2529人次，收集整理意见建议106条。</w:t>
      </w:r>
      <w:r>
        <w:rPr>
          <w:rFonts w:hint="eastAsia" w:ascii="仿宋_GB2312" w:hAnsi="仿宋_GB2312" w:eastAsia="仿宋_GB2312" w:cs="仿宋_GB2312"/>
          <w:sz w:val="32"/>
          <w:szCs w:val="32"/>
          <w:lang w:eastAsia="zh-CN"/>
        </w:rPr>
        <w:t>评分为</w:t>
      </w:r>
      <w:r>
        <w:rPr>
          <w:rFonts w:hint="eastAsia" w:ascii="仿宋_GB2312" w:hAnsi="仿宋_GB2312" w:eastAsia="仿宋_GB2312" w:cs="仿宋_GB2312"/>
          <w:sz w:val="32"/>
          <w:szCs w:val="32"/>
          <w:lang w:val="en-US" w:eastAsia="zh-CN"/>
        </w:rPr>
        <w:t>97分。</w:t>
      </w:r>
    </w:p>
    <w:p>
      <w:pPr>
        <w:spacing w:line="60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eastAsia="zh-CN"/>
        </w:rPr>
        <w:t>预算联网监督运行专项</w:t>
      </w:r>
      <w:r>
        <w:rPr>
          <w:rFonts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通过预算联网审查监督平台采集财政数据12次、采集国有资产数据1次、采集税收数据12次、采集审计数据12次，进一步加强了预决算审查监督、国有资产管理情况监督、审计查出突出问题整改情况监督等工作。</w:t>
      </w:r>
      <w:r>
        <w:rPr>
          <w:rFonts w:hint="eastAsia" w:ascii="仿宋_GB2312" w:hAnsi="仿宋_GB2312" w:eastAsia="仿宋_GB2312" w:cs="仿宋_GB2312"/>
          <w:sz w:val="32"/>
          <w:szCs w:val="32"/>
          <w:lang w:eastAsia="zh-CN"/>
        </w:rPr>
        <w:t>评分为</w:t>
      </w:r>
      <w:r>
        <w:rPr>
          <w:rFonts w:hint="eastAsia" w:ascii="仿宋_GB2312" w:hAnsi="仿宋_GB2312" w:eastAsia="仿宋_GB2312" w:cs="仿宋_GB2312"/>
          <w:sz w:val="32"/>
          <w:szCs w:val="32"/>
          <w:lang w:val="en-US" w:eastAsia="zh-CN"/>
        </w:rPr>
        <w:t>96分。</w:t>
      </w:r>
    </w:p>
    <w:p>
      <w:pPr>
        <w:keepNext w:val="0"/>
        <w:keepLines w:val="0"/>
        <w:pageBreakBefore w:val="0"/>
        <w:kinsoku/>
        <w:wordWrap/>
        <w:overflowPunct/>
        <w:topLinePunct w:val="0"/>
        <w:autoSpaceDE/>
        <w:autoSpaceDN/>
        <w:bidi w:val="0"/>
        <w:adjustRightInd/>
        <w:snapToGrid/>
        <w:spacing w:line="600" w:lineRule="exact"/>
        <w:ind w:left="0" w:firstLine="643" w:firstLineChars="200"/>
        <w:textAlignment w:val="auto"/>
        <w:rPr>
          <w:rFonts w:hint="eastAsia" w:eastAsia="仿宋_GB2312"/>
          <w:sz w:val="32"/>
          <w:szCs w:val="32"/>
          <w:lang w:val="en-US" w:eastAsia="zh-CN"/>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eastAsia="zh-CN"/>
        </w:rPr>
        <w:t>人大业务专项</w:t>
      </w:r>
      <w:r>
        <w:rPr>
          <w:rFonts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12月底召开了</w:t>
      </w:r>
      <w:r>
        <w:rPr>
          <w:rFonts w:hint="eastAsia" w:ascii="仿宋_GB2312" w:hAnsi="仿宋_GB2312" w:eastAsia="仿宋_GB2312" w:cs="仿宋_GB2312"/>
          <w:sz w:val="32"/>
          <w:szCs w:val="32"/>
        </w:rPr>
        <w:t>全市第十八届人民代表大会第三</w:t>
      </w:r>
      <w:r>
        <w:rPr>
          <w:rFonts w:hint="eastAsia" w:ascii="仿宋_GB2312" w:hAnsi="仿宋_GB2312" w:eastAsia="仿宋_GB2312" w:cs="仿宋_GB2312"/>
          <w:sz w:val="32"/>
          <w:szCs w:val="32"/>
          <w:lang w:val="en-US" w:eastAsia="zh-CN"/>
        </w:rPr>
        <w:t>次会议；分批次组织代表赴西南政法大学、延安、韶山、厦门等地开展履职培训，赴澧县、桃源、华容、安化等地考察学习，提升代表履职能力；出台《沅江市人民代表大会代表履职管理办法》，建立代表履职档案，把提交建议、闭会期间参加代表活动、进站点联系群众等作为履职评价的重要内容，实行积分制管理考核，年底评优、通报公示，引导代表更好履职尽责。</w:t>
      </w:r>
      <w:r>
        <w:rPr>
          <w:rFonts w:hint="eastAsia" w:ascii="仿宋_GB2312" w:hAnsi="仿宋_GB2312" w:eastAsia="仿宋_GB2312" w:cs="仿宋_GB2312"/>
          <w:sz w:val="32"/>
          <w:szCs w:val="32"/>
          <w:lang w:eastAsia="zh-CN"/>
        </w:rPr>
        <w:t>评分为</w:t>
      </w:r>
      <w:r>
        <w:rPr>
          <w:rFonts w:hint="eastAsia" w:ascii="仿宋_GB2312" w:hAnsi="仿宋_GB2312" w:eastAsia="仿宋_GB2312" w:cs="仿宋_GB2312"/>
          <w:sz w:val="32"/>
          <w:szCs w:val="32"/>
          <w:lang w:val="en-US" w:eastAsia="zh-CN"/>
        </w:rPr>
        <w:t>100分。</w:t>
      </w:r>
    </w:p>
    <w:p>
      <w:pPr>
        <w:spacing w:line="600" w:lineRule="exact"/>
        <w:ind w:firstLine="640" w:firstLineChars="200"/>
        <w:rPr>
          <w:rFonts w:eastAsia="黑体"/>
          <w:sz w:val="32"/>
          <w:szCs w:val="32"/>
        </w:rPr>
      </w:pPr>
      <w:r>
        <w:rPr>
          <w:rFonts w:eastAsia="黑体"/>
          <w:sz w:val="32"/>
          <w:szCs w:val="32"/>
        </w:rPr>
        <w:t>二、绩效评价工作</w:t>
      </w:r>
      <w:r>
        <w:rPr>
          <w:rFonts w:hint="eastAsia" w:eastAsia="黑体"/>
          <w:sz w:val="32"/>
          <w:szCs w:val="32"/>
        </w:rPr>
        <w:t>开展</w:t>
      </w:r>
      <w:r>
        <w:rPr>
          <w:rFonts w:eastAsia="黑体"/>
          <w:sz w:val="32"/>
          <w:szCs w:val="32"/>
        </w:rPr>
        <w:t>情况</w:t>
      </w:r>
      <w:r>
        <w:rPr>
          <w:rFonts w:hint="eastAsia" w:eastAsia="黑体"/>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机关</w:t>
      </w:r>
      <w:r>
        <w:rPr>
          <w:rFonts w:hint="eastAsia" w:ascii="仿宋_GB2312" w:hAnsi="仿宋_GB2312" w:eastAsia="仿宋_GB2312" w:cs="仿宋_GB2312"/>
          <w:sz w:val="32"/>
          <w:szCs w:val="32"/>
        </w:rPr>
        <w:t>通过开展项目支出绩效评价，全面了解分析单位的预算执行及公开、“三公”经费管理、相关政策制度执行、资产管理及部门工作绩效等情况，总结经验，分析问题，强化项目资金管理，进一步提升预算项目资金使用成效。</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（一）项目资金情况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2023年部门预算专项资金共计</w:t>
      </w:r>
      <w:r>
        <w:rPr>
          <w:rFonts w:hint="eastAsia" w:ascii="仿宋_GB2312" w:hAnsi="仿宋_GB2312" w:eastAsia="仿宋_GB2312" w:cs="仿宋_GB2312"/>
          <w:sz w:val="32"/>
          <w:szCs w:val="32"/>
          <w:lang w:val="en-US" w:eastAsia="zh-CN"/>
        </w:rPr>
        <w:t>176</w:t>
      </w:r>
      <w:r>
        <w:rPr>
          <w:rFonts w:hint="eastAsia" w:ascii="仿宋_GB2312" w:hAnsi="仿宋_GB2312" w:eastAsia="仿宋_GB2312" w:cs="仿宋_GB2312"/>
          <w:sz w:val="32"/>
          <w:szCs w:val="32"/>
        </w:rPr>
        <w:t>万元，因全市缩减开支20%，</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到位资金</w:t>
      </w:r>
      <w:r>
        <w:rPr>
          <w:rFonts w:hint="eastAsia" w:ascii="仿宋_GB2312" w:hAnsi="仿宋_GB2312" w:eastAsia="仿宋_GB2312" w:cs="仿宋_GB2312"/>
          <w:sz w:val="32"/>
          <w:szCs w:val="32"/>
          <w:lang w:val="en-US" w:eastAsia="zh-CN"/>
        </w:rPr>
        <w:t>140.8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，调整预算追加资金</w:t>
      </w:r>
      <w:r>
        <w:rPr>
          <w:rFonts w:hint="eastAsia" w:ascii="仿宋_GB2312" w:hAnsi="仿宋_GB2312" w:eastAsia="仿宋_GB2312" w:cs="仿宋_GB2312"/>
          <w:sz w:val="32"/>
          <w:szCs w:val="32"/>
          <w:lang w:val="en-US" w:eastAsia="zh-CN"/>
        </w:rPr>
        <w:t>195.79万元，实际预算到位专项资金336.59万元</w:t>
      </w:r>
      <w:r>
        <w:rPr>
          <w:rFonts w:hint="eastAsia" w:ascii="仿宋_GB2312" w:hAnsi="仿宋_GB2312" w:eastAsia="仿宋_GB2312" w:cs="仿宋_GB2312"/>
          <w:sz w:val="32"/>
          <w:szCs w:val="32"/>
        </w:rPr>
        <w:t>。其中，</w:t>
      </w:r>
      <w:r>
        <w:rPr>
          <w:rFonts w:hint="eastAsia" w:ascii="仿宋_GB2312" w:hAnsi="仿宋_GB2312" w:eastAsia="仿宋_GB2312" w:cs="仿宋_GB2312"/>
          <w:bCs/>
          <w:color w:val="000000"/>
          <w:kern w:val="0"/>
          <w:sz w:val="32"/>
          <w:szCs w:val="32"/>
          <w:lang w:eastAsia="zh-CN"/>
        </w:rPr>
        <w:t>人大常务会议及主任会议专项</w:t>
      </w:r>
      <w:r>
        <w:rPr>
          <w:rFonts w:hint="eastAsia" w:ascii="仿宋_GB2312" w:hAnsi="仿宋_GB2312" w:eastAsia="仿宋_GB2312" w:cs="仿宋_GB2312"/>
          <w:bCs/>
          <w:color w:val="000000"/>
          <w:kern w:val="0"/>
          <w:sz w:val="32"/>
          <w:szCs w:val="32"/>
          <w:lang w:val="en-US" w:eastAsia="zh-CN"/>
        </w:rPr>
        <w:t>19.2万元、调研视察工作专项33.6万元、人大执法和监督专项40万元、一般行政管理实务专项20万元、预算联网监督运行专项28万元、人大业务专项195.79万元，</w:t>
      </w:r>
      <w:r>
        <w:rPr>
          <w:rFonts w:hint="eastAsia" w:ascii="仿宋_GB2312" w:hAnsi="仿宋_GB2312" w:eastAsia="仿宋_GB2312" w:cs="仿宋_GB2312"/>
          <w:sz w:val="32"/>
          <w:szCs w:val="32"/>
        </w:rPr>
        <w:t>专项资金均专款专用投入到各项工作中，使用率100%。</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（二）项目组织情况分析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机关</w:t>
      </w:r>
      <w:r>
        <w:rPr>
          <w:rFonts w:hint="eastAsia" w:ascii="仿宋_GB2312" w:hAnsi="仿宋_GB2312" w:eastAsia="仿宋_GB2312" w:cs="仿宋_GB2312"/>
          <w:sz w:val="32"/>
          <w:szCs w:val="32"/>
        </w:rPr>
        <w:t>成立了绩效评价小组，对有关文件进行了分析研究，对标相关规定，制定工作方案。评价小组采用查阅凭证和资料、审计等形式进行考评。根据考评情况，评价小组对收集的资料进行整理、汇总分析，并依据前期制定的绩效评价指标体系进行了评分，最终形成综合报告。</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（三）项目管理情况分析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项目支出严格按照国家财经法规、预算资金管理办法、财务管理制度以及省级政府对财政专项资金管理有关法规的规定执行，把项目资金的审批分配、监督检查与绩效评价结合起来。</w:t>
      </w:r>
    </w:p>
    <w:p>
      <w:pPr>
        <w:tabs>
          <w:tab w:val="left" w:pos="1603"/>
        </w:tabs>
        <w:ind w:firstLine="640" w:firstLineChars="200"/>
        <w:jc w:val="left"/>
        <w:rPr>
          <w:rFonts w:hint="eastAsia" w:eastAsia="黑体"/>
          <w:sz w:val="32"/>
          <w:szCs w:val="32"/>
        </w:rPr>
      </w:pPr>
      <w:r>
        <w:rPr>
          <w:rFonts w:eastAsia="黑体"/>
          <w:sz w:val="32"/>
          <w:szCs w:val="32"/>
        </w:rPr>
        <w:t>三、项目支出主要绩效及评价结论</w:t>
      </w:r>
      <w:r>
        <w:rPr>
          <w:rFonts w:hint="eastAsia" w:eastAsia="黑体"/>
          <w:sz w:val="32"/>
          <w:szCs w:val="32"/>
        </w:rPr>
        <w:t>。</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（一）项目绩效目标完成情况分析</w:t>
      </w:r>
    </w:p>
    <w:p>
      <w:pPr>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1.项目的经济性分析</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w:t>
      </w:r>
      <w:r>
        <w:rPr>
          <w:rFonts w:hint="eastAsia" w:ascii="仿宋_GB2312" w:hAnsi="仿宋_GB2312" w:eastAsia="仿宋_GB2312" w:cs="仿宋_GB2312"/>
          <w:color w:val="000000"/>
          <w:sz w:val="32"/>
          <w:szCs w:val="32"/>
          <w:shd w:val="clear" w:color="auto" w:fill="FFFFFF"/>
        </w:rPr>
        <w:t>部门预算专项资金共计</w:t>
      </w:r>
      <w:r>
        <w:rPr>
          <w:rFonts w:hint="eastAsia" w:ascii="仿宋_GB2312" w:hAnsi="仿宋_GB2312" w:eastAsia="仿宋_GB2312" w:cs="仿宋_GB2312"/>
          <w:color w:val="000000"/>
          <w:sz w:val="32"/>
          <w:szCs w:val="32"/>
          <w:shd w:val="clear" w:color="auto" w:fill="FFFFFF"/>
          <w:lang w:val="en-US" w:eastAsia="zh-CN"/>
        </w:rPr>
        <w:t>336.59</w:t>
      </w:r>
      <w:r>
        <w:rPr>
          <w:rFonts w:hint="eastAsia" w:ascii="仿宋_GB2312" w:hAnsi="仿宋_GB2312" w:eastAsia="仿宋_GB2312" w:cs="仿宋_GB2312"/>
          <w:color w:val="000000"/>
          <w:sz w:val="32"/>
          <w:szCs w:val="32"/>
          <w:shd w:val="clear" w:color="auto" w:fill="FFFFFF"/>
        </w:rPr>
        <w:t>万元，</w:t>
      </w:r>
      <w:r>
        <w:rPr>
          <w:rFonts w:hint="eastAsia" w:ascii="仿宋_GB2312" w:hAnsi="仿宋_GB2312" w:eastAsia="仿宋_GB2312" w:cs="仿宋_GB2312"/>
          <w:color w:val="000000"/>
          <w:sz w:val="32"/>
          <w:szCs w:val="32"/>
        </w:rPr>
        <w:t>项目实施过程中严格按照项目预算科目及有关政策规定执行。</w:t>
      </w:r>
    </w:p>
    <w:p>
      <w:pPr>
        <w:numPr>
          <w:ilvl w:val="0"/>
          <w:numId w:val="1"/>
        </w:num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项目成本（预算）控制情况。严格控制成本预算，坚持项目经费用在刀刃上，社会效益大于投资成本。</w:t>
      </w:r>
    </w:p>
    <w:p>
      <w:pPr>
        <w:numPr>
          <w:ilvl w:val="0"/>
          <w:numId w:val="1"/>
        </w:num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项目成本（预算）节约情况。坚持厉行节约原则，既坚持把住经费投入关口，也保证项目建设和管理质量。</w:t>
      </w:r>
    </w:p>
    <w:p>
      <w:pPr>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2.项目的效率性分析</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（1）项目的实施进度。截止2023年12月底，预算项目资金全部落实。 </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（2）项目完成质量。合理配置资源，规避项目风险，并根据各个专项方案，组织实施，较好保证了项目质量。</w:t>
      </w:r>
    </w:p>
    <w:p>
      <w:pPr>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3.项目的效益性分析</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（1）项目预期目标完成程度。每个项目的实施，做到早计划、早安排，较好实现项目管理和经费支出预期。</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（2）项目实施对经济和社会的影响。</w:t>
      </w:r>
    </w:p>
    <w:p>
      <w:pPr>
        <w:spacing w:line="60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四、绩效评价指标分析</w:t>
      </w:r>
    </w:p>
    <w:p>
      <w:pPr>
        <w:spacing w:line="600" w:lineRule="exact"/>
        <w:ind w:firstLine="643" w:firstLineChars="200"/>
        <w:rPr>
          <w:rFonts w:hint="eastAsia" w:ascii="Times New Roman" w:hAnsi="Times New Roman" w:eastAsia="仿宋" w:cs="仿宋"/>
          <w:b/>
          <w:bCs/>
          <w:kern w:val="0"/>
          <w:sz w:val="32"/>
          <w:szCs w:val="32"/>
          <w:highlight w:val="none"/>
          <w:lang w:val="en-US" w:eastAsia="zh-CN"/>
        </w:rPr>
      </w:pPr>
      <w:r>
        <w:rPr>
          <w:rFonts w:hint="eastAsia" w:ascii="Times New Roman" w:hAnsi="Times New Roman" w:eastAsia="仿宋" w:cs="仿宋"/>
          <w:b/>
          <w:bCs/>
          <w:kern w:val="0"/>
          <w:sz w:val="32"/>
          <w:szCs w:val="32"/>
          <w:highlight w:val="none"/>
          <w:lang w:val="en-US" w:eastAsia="zh-CN"/>
        </w:rPr>
        <w:t>（一）项目支出决策情况</w:t>
      </w:r>
    </w:p>
    <w:p>
      <w:pPr>
        <w:numPr>
          <w:ilvl w:val="0"/>
          <w:numId w:val="0"/>
        </w:numPr>
        <w:spacing w:line="600" w:lineRule="exact"/>
        <w:ind w:firstLine="640" w:firstLineChars="200"/>
        <w:rPr>
          <w:rFonts w:hint="eastAsia" w:ascii="Times New Roman" w:hAnsi="Times New Roman" w:eastAsia="仿宋" w:cs="仿宋"/>
          <w:kern w:val="0"/>
          <w:sz w:val="32"/>
          <w:szCs w:val="32"/>
          <w:highlight w:val="none"/>
          <w:lang w:val="en-US" w:eastAsia="zh-CN"/>
        </w:rPr>
      </w:pPr>
      <w:r>
        <w:rPr>
          <w:rFonts w:hint="eastAsia" w:ascii="Times New Roman" w:hAnsi="Times New Roman" w:eastAsia="仿宋" w:cs="仿宋"/>
          <w:b w:val="0"/>
          <w:bCs w:val="0"/>
          <w:kern w:val="0"/>
          <w:sz w:val="32"/>
          <w:szCs w:val="32"/>
          <w:highlight w:val="none"/>
          <w:lang w:val="en-US" w:eastAsia="zh-CN"/>
        </w:rPr>
        <w:t>项目立项依据充分性和立项程序规范性，根据财政局对口股室要求，完善相关审批程序，及时建立项目库。</w:t>
      </w:r>
    </w:p>
    <w:p>
      <w:pPr>
        <w:spacing w:line="600" w:lineRule="exact"/>
        <w:ind w:firstLine="643" w:firstLineChars="200"/>
        <w:rPr>
          <w:rFonts w:hint="eastAsia" w:ascii="Times New Roman" w:hAnsi="Times New Roman" w:eastAsia="仿宋" w:cs="仿宋"/>
          <w:b/>
          <w:bCs/>
          <w:kern w:val="0"/>
          <w:sz w:val="32"/>
          <w:szCs w:val="32"/>
          <w:highlight w:val="none"/>
          <w:lang w:val="en-US" w:eastAsia="zh-CN"/>
        </w:rPr>
      </w:pPr>
      <w:r>
        <w:rPr>
          <w:rFonts w:hint="eastAsia" w:ascii="Times New Roman" w:hAnsi="Times New Roman" w:eastAsia="仿宋" w:cs="仿宋"/>
          <w:b/>
          <w:bCs/>
          <w:kern w:val="0"/>
          <w:sz w:val="32"/>
          <w:szCs w:val="32"/>
          <w:highlight w:val="none"/>
          <w:lang w:val="en-US" w:eastAsia="zh-CN"/>
        </w:rPr>
        <w:t>（二）项目执行过程情况</w:t>
      </w:r>
    </w:p>
    <w:p>
      <w:pPr>
        <w:numPr>
          <w:ilvl w:val="0"/>
          <w:numId w:val="0"/>
        </w:numPr>
        <w:spacing w:line="600" w:lineRule="exact"/>
        <w:ind w:firstLine="640" w:firstLineChars="200"/>
        <w:jc w:val="both"/>
        <w:rPr>
          <w:rFonts w:hint="eastAsia" w:ascii="Times New Roman" w:hAnsi="Times New Roman" w:eastAsia="仿宋" w:cs="仿宋"/>
          <w:kern w:val="0"/>
          <w:sz w:val="32"/>
          <w:szCs w:val="32"/>
          <w:highlight w:val="none"/>
          <w:lang w:val="en-US" w:eastAsia="zh-CN"/>
        </w:rPr>
      </w:pPr>
      <w:r>
        <w:rPr>
          <w:rFonts w:hint="eastAsia" w:ascii="Times New Roman" w:hAnsi="Times New Roman" w:eastAsia="仿宋" w:cs="仿宋"/>
          <w:kern w:val="0"/>
          <w:sz w:val="32"/>
          <w:szCs w:val="32"/>
          <w:highlight w:val="none"/>
          <w:lang w:val="en-US" w:eastAsia="zh-CN"/>
        </w:rPr>
        <w:t>项目支出中用于采购货物、服务类、拨款类等资金支出由国库集中支付，其他支出遵循先预算、再审批、后支出的原则。</w:t>
      </w:r>
    </w:p>
    <w:p>
      <w:pPr>
        <w:spacing w:line="600" w:lineRule="exact"/>
        <w:ind w:firstLine="643" w:firstLineChars="200"/>
        <w:rPr>
          <w:rFonts w:hint="eastAsia" w:ascii="Times New Roman" w:hAnsi="Times New Roman" w:eastAsia="仿宋" w:cs="仿宋"/>
          <w:b/>
          <w:bCs/>
          <w:kern w:val="0"/>
          <w:sz w:val="32"/>
          <w:szCs w:val="32"/>
          <w:highlight w:val="none"/>
          <w:lang w:val="en-US" w:eastAsia="zh-CN"/>
        </w:rPr>
      </w:pPr>
      <w:r>
        <w:rPr>
          <w:rFonts w:hint="eastAsia" w:ascii="Times New Roman" w:hAnsi="Times New Roman" w:eastAsia="仿宋" w:cs="仿宋"/>
          <w:b/>
          <w:bCs/>
          <w:kern w:val="0"/>
          <w:sz w:val="32"/>
          <w:szCs w:val="32"/>
          <w:highlight w:val="none"/>
          <w:lang w:val="en-US" w:eastAsia="zh-CN"/>
        </w:rPr>
        <w:t>（三）项目支出产出、效益情况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本年度我机关</w:t>
      </w:r>
      <w:r>
        <w:rPr>
          <w:rFonts w:hint="eastAsia" w:ascii="仿宋_GB2312" w:hAnsi="仿宋_GB2312" w:eastAsia="仿宋_GB2312" w:cs="仿宋_GB2312"/>
          <w:color w:val="000000"/>
          <w:sz w:val="32"/>
          <w:szCs w:val="32"/>
        </w:rPr>
        <w:t>各项工作顺利开展，各项目标任务得到的全面落实，自评分</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分，评价等次为优等。</w:t>
      </w:r>
    </w:p>
    <w:p>
      <w:pPr>
        <w:spacing w:line="600" w:lineRule="exact"/>
        <w:ind w:firstLine="640" w:firstLineChars="200"/>
        <w:rPr>
          <w:rFonts w:eastAsia="黑体"/>
          <w:sz w:val="32"/>
          <w:szCs w:val="32"/>
        </w:rPr>
      </w:pPr>
      <w:r>
        <w:rPr>
          <w:rFonts w:eastAsia="黑体"/>
          <w:sz w:val="32"/>
          <w:szCs w:val="32"/>
        </w:rPr>
        <w:t>五、主要经验及做法、存在的问题及原因分析</w:t>
      </w:r>
    </w:p>
    <w:p>
      <w:pPr>
        <w:ind w:firstLine="640" w:firstLineChars="200"/>
        <w:rPr>
          <w:rFonts w:eastAsia="黑体"/>
          <w:sz w:val="32"/>
          <w:szCs w:val="32"/>
        </w:rPr>
      </w:pPr>
      <w:r>
        <w:rPr>
          <w:rFonts w:hint="eastAsia" w:ascii="仿宋_GB2312" w:hAnsi="仿宋_GB2312" w:eastAsia="仿宋_GB2312" w:cs="仿宋_GB2312"/>
          <w:sz w:val="32"/>
          <w:szCs w:val="32"/>
          <w:lang w:eastAsia="zh-CN"/>
        </w:rPr>
        <w:t>一是绩效管理与年度预算编制结合得不够紧密，影响目标任务评价结果。</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未准确把握预算绩效管理的制度规定，深入研究符合我机关实际的绩效指标，在年初绩效目标申报时难以准确科学的规范操作。二是预算绩效评价结果运用不充分，促进强化绩效管理的推动作用不明显。</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“重支出、轻绩效”的思想没有从根本上转变。绩效评价的成果运用只停留在反映情况、发现问题层面，没有转化成管理措施。</w:t>
      </w:r>
      <w:r>
        <w:rPr>
          <w:rFonts w:hint="eastAsia" w:ascii="仿宋_GB2312" w:hAnsi="仿宋_GB2312" w:eastAsia="仿宋_GB2312" w:cs="仿宋_GB2312"/>
          <w:sz w:val="32"/>
          <w:szCs w:val="32"/>
        </w:rPr>
        <w:t>加强预算及预算绩效管理理论、政策的宣传、学习、培训，</w:t>
      </w:r>
      <w:r>
        <w:rPr>
          <w:rFonts w:hint="eastAsia" w:ascii="仿宋_GB2312" w:hAnsi="仿宋_GB2312" w:eastAsia="仿宋_GB2312" w:cs="仿宋_GB2312"/>
          <w:sz w:val="32"/>
          <w:szCs w:val="32"/>
          <w:lang w:eastAsia="zh-CN"/>
        </w:rPr>
        <w:t>让绩效理念深入人心、让绩效管理人员熟悉政策、知行合一，让相关分管领导及时掌握预算绩效管理的推进情况、实际效果和存在的问题，以及时作出调整。</w:t>
      </w:r>
      <w:r>
        <w:rPr>
          <w:rFonts w:hint="eastAsia" w:ascii="仿宋_GB2312" w:hAnsi="仿宋_GB2312" w:eastAsia="仿宋_GB2312" w:cs="仿宋_GB2312"/>
          <w:kern w:val="2"/>
          <w:sz w:val="32"/>
          <w:szCs w:val="32"/>
          <w:lang w:val="en-US" w:eastAsia="zh-CN" w:bidi="ar-SA"/>
        </w:rPr>
        <w:t>准确把握预算绩效管理的制度规定，深入研究符合我机关实际的绩效指标，逐步建立涵盖各类各项支出、符合目标内容、细化量化、便于考核的绩效评价体系，做到“预算编制有目标、预算执行有监控、预算完成有评价、评价结果有运用”有效管理机制。</w:t>
      </w:r>
    </w:p>
    <w:p>
      <w:pPr>
        <w:numPr>
          <w:ilvl w:val="0"/>
          <w:numId w:val="2"/>
        </w:numPr>
        <w:spacing w:line="600" w:lineRule="exact"/>
        <w:ind w:firstLine="640" w:firstLineChars="200"/>
        <w:rPr>
          <w:rFonts w:eastAsia="黑体"/>
          <w:sz w:val="32"/>
          <w:szCs w:val="32"/>
        </w:rPr>
      </w:pPr>
      <w:r>
        <w:rPr>
          <w:rFonts w:eastAsia="黑体"/>
          <w:sz w:val="32"/>
          <w:szCs w:val="32"/>
        </w:rPr>
        <w:t>有关建议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numPr>
          <w:ilvl w:val="0"/>
          <w:numId w:val="2"/>
        </w:numPr>
        <w:spacing w:line="600" w:lineRule="exact"/>
        <w:ind w:firstLine="640" w:firstLineChars="200"/>
        <w:rPr>
          <w:rFonts w:eastAsia="黑体"/>
          <w:sz w:val="32"/>
          <w:szCs w:val="32"/>
        </w:rPr>
      </w:pPr>
      <w:r>
        <w:rPr>
          <w:rFonts w:eastAsia="黑体"/>
          <w:sz w:val="32"/>
          <w:szCs w:val="32"/>
        </w:rPr>
        <w:t>其他需要说明的问题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rPr>
          <w:rFonts w:hint="eastAsia" w:ascii="仿宋_GB2312" w:hAnsi="仿宋_GB2312" w:eastAsia="仿宋_GB2312" w:cs="仿宋_GB2312"/>
          <w:sz w:val="32"/>
          <w:szCs w:val="32"/>
        </w:rPr>
      </w:pPr>
    </w:p>
    <w:p>
      <w:pPr>
        <w:tabs>
          <w:tab w:val="left" w:pos="1603"/>
        </w:tabs>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报告应包括以下附件：（已附）</w:t>
      </w:r>
    </w:p>
    <w:p>
      <w:pPr>
        <w:tabs>
          <w:tab w:val="left" w:pos="1603"/>
        </w:tabs>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1、绩效评价基础数据汇总表</w:t>
      </w:r>
    </w:p>
    <w:p>
      <w:pPr>
        <w:tabs>
          <w:tab w:val="left" w:pos="1603"/>
        </w:tabs>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2、绩效评价指标评分表</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4594D"/>
    <w:multiLevelType w:val="singleLevel"/>
    <w:tmpl w:val="A1C4594D"/>
    <w:lvl w:ilvl="0" w:tentative="0">
      <w:start w:val="6"/>
      <w:numFmt w:val="chineseCounting"/>
      <w:suff w:val="nothing"/>
      <w:lvlText w:val="%1、"/>
      <w:lvlJc w:val="left"/>
      <w:rPr>
        <w:rFonts w:hint="eastAsia"/>
      </w:rPr>
    </w:lvl>
  </w:abstractNum>
  <w:abstractNum w:abstractNumId="1">
    <w:nsid w:val="6BC07229"/>
    <w:multiLevelType w:val="singleLevel"/>
    <w:tmpl w:val="6BC0722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YWY2MjdhYjViYmRiZjI2MGZlYWM1ODFjMTBmODgifQ=="/>
  </w:docVars>
  <w:rsids>
    <w:rsidRoot w:val="00000000"/>
    <w:rsid w:val="7D8C0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2024-05-18T02:44:48Z</dcterms:created>
  <dc:creator>Administrator</dc:creator>
  <cp:lastModifiedBy>Administrator</cp:lastModifiedBy>
  <dcterms:modified xsi:type="dcterms:W3CDTF">2024-05-18T02:44:55Z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768B2112636149689473A4CD78DFDA65_12</vt:lpwstr>
  </property>
</Properties>
</file>