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沅江市交警大队202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年度信息公开报告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根据《中华人民共和国政府信息公开条例》（以下简称《条例》），结合我局政府信息公开工作实际，现将我局202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年政府信息公开工作年度报告如下：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由工作开展情况、主动公开政府信息情况、收到和处理政府信息公开申请情况、政府信息公开行政复议、行政诉讼情况、存在的主要问题及改进情况、其他需要报告的事项报六个部分组成。本报告中所列数据的统计期限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年12月31日止。如对本报告有任何疑问，请与沅江市交警大队办公室联系（地址：沅江市跑马岭路，邮编：413100，电话：0737-2722166）。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一、工作开展情况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（一）进一步完善体制机制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是强化组织领导。根据分工调整了领导小组，明确专人负责。二是健全制度。依据《中华人民共和国政府信息公开条例》和市政务公开办要求，修订政务信息公开保密和审查制度。三是完善政务信息公开指南和目录。本着高效、快捷、便民的原则，及时完善我大队政务信息公开指南和目录，对主动公开的信息范围、内容、查询方法以及对申请公开的步骤、处理程序等作了明确规定。四是加强政务信息公开载体建设。利用网站政务公开栏主动公开相关文件，公民、法人和其他组织均可登陆网站，按照标题、文号等方式进行查询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（二）进一步强化主动公开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主动公开政务信息情况。一是通过沅江市人民政府信息平台主动公开反映工作动态、政务文件、办事指南等信息总计61条，公开率100%（其中：机构信息3条，政策文件1条，通知通告52条，计划总结1条，财政支出4条，人事信息1条。）二是向市政务信息公开网及时提供以下政务信息：交通法律法规信息，；机构及职能信息，包括我大队领导分工的调整、内设及下属机构职责等；领导活动等信息。三是及时更新单位工作动态、政策法规等内容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2.依申请公开政务信息办理情况。202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年度我大队无申请公开政务信息情况 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3.部门信息公开支出及收费情况。202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年我大队未收取任何信息公开费用。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二、主动公开政府信息情况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5"/>
        <w:gridCol w:w="1980"/>
        <w:gridCol w:w="1980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第二十条第（一）项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信息内容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本年制发件数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本年废止件数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现行有效件数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规章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　　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　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行政规范性文件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　　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　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第二十条第（五）项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信息内容 </w:t>
            </w:r>
          </w:p>
        </w:tc>
        <w:tc>
          <w:tcPr>
            <w:tcW w:w="0" w:type="auto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本年处理决定数量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行政许可 </w:t>
            </w:r>
          </w:p>
        </w:tc>
        <w:tc>
          <w:tcPr>
            <w:tcW w:w="0" w:type="auto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23846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第二十条第（六）项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信息内容 </w:t>
            </w:r>
          </w:p>
        </w:tc>
        <w:tc>
          <w:tcPr>
            <w:tcW w:w="0" w:type="auto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本年处理决定数量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行政处罚 </w:t>
            </w:r>
          </w:p>
        </w:tc>
        <w:tc>
          <w:tcPr>
            <w:tcW w:w="0" w:type="auto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　78031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行政强制 </w:t>
            </w:r>
          </w:p>
        </w:tc>
        <w:tc>
          <w:tcPr>
            <w:tcW w:w="0" w:type="auto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　1168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第二十条第（八）项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信息内容 </w:t>
            </w:r>
          </w:p>
        </w:tc>
        <w:tc>
          <w:tcPr>
            <w:tcW w:w="0" w:type="auto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本年收费金额（单位：万元）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行政事业性收费 </w:t>
            </w:r>
          </w:p>
        </w:tc>
        <w:tc>
          <w:tcPr>
            <w:tcW w:w="0" w:type="auto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48.44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三、收到和处理政府信息公开申请情况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4"/>
        <w:gridCol w:w="1243"/>
        <w:gridCol w:w="2594"/>
        <w:gridCol w:w="380"/>
        <w:gridCol w:w="436"/>
        <w:gridCol w:w="436"/>
        <w:gridCol w:w="658"/>
        <w:gridCol w:w="658"/>
        <w:gridCol w:w="436"/>
        <w:gridCol w:w="4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（本列数据的勾稽关系为：第一项加第二项之和，等于第三项加第四项之和） </w:t>
            </w:r>
          </w:p>
        </w:tc>
        <w:tc>
          <w:tcPr>
            <w:tcW w:w="0" w:type="auto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申请人情况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自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然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人 </w:t>
            </w:r>
          </w:p>
        </w:tc>
        <w:tc>
          <w:tcPr>
            <w:tcW w:w="0" w:type="auto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法人或其他组织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总计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商业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企业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科研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机构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社会公益组织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法律服务机构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其他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一、本年新收政府信息公开申请数量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二、上年结转政府信息公开申请数量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三、本年度办理结果 </w:t>
            </w:r>
          </w:p>
        </w:tc>
        <w:tc>
          <w:tcPr>
            <w:tcW w:w="0" w:type="auto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（一）予以公开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（二）部分公开（区分处理的，只计这一情形，不计其他情形）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（三）不予公开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1.属于国家秘密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2.其他法律行政法规禁止公开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3.危及“三安全一稳定”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4.保护第三方合法权益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5.属于三类内部事务信息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6.属于四类过程性信息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7.属于行政执法案卷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8.属于行政查询事项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（四）无法提供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1.本机关不掌握相关政府信息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2.没有现成信息需要另行制作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3.补正后申请内容仍不明确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（五）不予处理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1.信访举报投诉类申请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2.重复申请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3.要求提供公开出版物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4.无正当理由大量反复申请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5.要求行政机关确认或重新出具已获取信息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（六）其他处理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1.申请人无正当理由逾期不补正、行政机关不再处理其政府信息公开申请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2.申请人逾期未按收费通知要求缴纳费用、行政机关不再处理其政府信息公开申请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3.其他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（七）总计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四、结转下年度继续办理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 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0 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四、政府信息公开行政复议、行政诉讼情况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585"/>
        <w:gridCol w:w="585"/>
        <w:gridCol w:w="585"/>
        <w:gridCol w:w="448"/>
        <w:gridCol w:w="585"/>
        <w:gridCol w:w="585"/>
        <w:gridCol w:w="585"/>
        <w:gridCol w:w="585"/>
        <w:gridCol w:w="448"/>
        <w:gridCol w:w="585"/>
        <w:gridCol w:w="585"/>
        <w:gridCol w:w="585"/>
        <w:gridCol w:w="586"/>
        <w:gridCol w:w="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行政复议 </w:t>
            </w:r>
          </w:p>
        </w:tc>
        <w:tc>
          <w:tcPr>
            <w:tcW w:w="0" w:type="auto"/>
            <w:gridSpan w:val="10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行政诉讼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结果维持 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结果纠正 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其他结果 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尚未审结 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总计 </w:t>
            </w:r>
          </w:p>
        </w:tc>
        <w:tc>
          <w:tcPr>
            <w:tcW w:w="0" w:type="auto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未经复议直接起诉 </w:t>
            </w:r>
          </w:p>
        </w:tc>
        <w:tc>
          <w:tcPr>
            <w:tcW w:w="0" w:type="auto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复议后起诉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结果维持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结果纠正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其他结果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尚未审结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总计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结果维持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结果纠正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其他结果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尚未审结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总计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0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五、存在的问题及改进措施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单位各部门工作人员政府信息公开意识强弱不一，认识有待进一步提高；二是信息公开内容的广度与深度不够；三是信息公开形式有待拓展。为此，本单位下一步工作重点：一是加强信息联络人员与各部门、相关单位的衔接与沟通，努力将信息收集与公开同步进行，确保信息的及时、准确、全面；二是加强对联络人员的培训，着力提高机关各部门工作人员信息公开意识、开展多种形式的交流，开阔工作人员视野，加强信息内容提炼和升华；三是通过增设公开栏等形式丰富政府信息公开渠道，积极探索新措施、新方法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六、其他需要报告的事项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无其他需要报告的事项。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                 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沅江市公安局交通警察大队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          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     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YzUxOWY0ZmY5MDlhM2Y1OTc4OGQxNjAwNDM3MTkifQ=="/>
  </w:docVars>
  <w:rsids>
    <w:rsidRoot w:val="00000000"/>
    <w:rsid w:val="6DD9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2024-01-24T08:26:18Z</dcterms:created>
  <dc:creator>Administrator</dc:creator>
  <cp:lastModifiedBy>漫步者</cp:lastModifiedBy>
  <dcterms:modified xsi:type="dcterms:W3CDTF">2024-01-24T08:28:33Z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124FC1F665FF40A8A66D1556246DA3D2_12</vt:lpwstr>
  </property>
</Properties>
</file>