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480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沅江市人力资源和社会保障局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540" w:firstLineChars="200"/>
        <w:rPr>
          <w:rFonts w:ascii="Arial" w:hAnsi="Arial" w:cs="Arial"/>
          <w:i w:val="0"/>
          <w:iCs w:val="0"/>
          <w:caps w:val="0"/>
          <w:color w:val="222222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4"/>
        <w:jc w:val="both"/>
        <w:textAlignment w:val="auto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本年度报告根据《中华人民共和国政府信息公开条例》（以下简称《条例》）要求，由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沅江市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人力资源和社会保障局编制。全文内容包括总体情况、主动公开政府信息情况、收到和处理政府信息公开申请情况、因政府信息公开工作被申请行政复议、提起行政诉讼情况、存在的主要问题及改进情况。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报告中所列数据的统计期限自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年1月1日起至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年12月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1日止。</w:t>
      </w:r>
    </w:p>
    <w:p>
      <w:pPr>
        <w:widowControl/>
        <w:spacing w:line="600" w:lineRule="exact"/>
        <w:ind w:firstLine="482"/>
        <w:rPr>
          <w:rFonts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24"/>
        <w:jc w:val="both"/>
        <w:textAlignment w:val="auto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年，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沅江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市人力资源和社会保障局深入贯彻落实《中华人民共和国政府信息公开条例》，坚持以公开为常态、不公开为例外，及时、准确、有效地公开我市人社相关政府信息。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24"/>
        <w:jc w:val="both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（一）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加强组织领导，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主动公开信息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24"/>
        <w:jc w:val="both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一是沅江市人力资源和社会保障局成立了以局长为组长，副局长为副组长，各股室负责人为成员的政务公开工作领导小组，为实施政务公开提供组织保证，确保政务公开工作有组织、有领导、有计划、积极稳妥地开展。局领导高度重视政务公开工作，局领导班子每年均召开专题会议，研究部署政务公开工作，把政务公开工作作为加强政风行风建设、促进依法行政的重要措施来抓，为全市人社系统政务公开能够公开、公正、规范、高效打下了坚实的基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24"/>
        <w:jc w:val="both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是公开政府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信息数。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2023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年，我局通过各种渠道主动公开人社类政府信息共发文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233篇，较去年大幅度提升，严格按照要求执行信息公开工作，其中工作动态38篇，通知公告115篇，招考指南62篇，政策文件2篇，办事指南2篇，机构信息2篇，计划总结2篇，财务信息5篇，人事信息1篇，社会保障4篇。回复12345热线775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zh-TW" w:eastAsia="zh-CN"/>
        </w:rPr>
        <w:t>件，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问政湖南9件，红网留言15条，市长邮箱25件，回复率100%。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24"/>
        <w:jc w:val="both"/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三是政府信息公开渠道。坚持多渠道公开政府信息，目前，我局政府信息公开渠道包括局门户网站和沅江市政府门户网站、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12333热线电话等方式。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right="0" w:firstLine="624"/>
        <w:jc w:val="both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完善公开制度，规范政务公开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right="0" w:rightChars="0" w:firstLine="640" w:firstLineChars="200"/>
        <w:jc w:val="both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2023年，沅江市人力资源和社会保障局不断完善公开制度，对应当让社会公众广泛知晓或参与的事项，按照规定的程序，做到及时、主动公开，逐步制定并完善了文件公开属性标识、依申请公开信息、保密审查、责任追究等工作制度，建立了相应的信息公开机制并认真落实政务公开的各项工作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leftChars="0" w:right="0" w:rightChars="0" w:firstLine="624" w:firstLineChars="0"/>
        <w:jc w:val="both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夯实意见收集，推动决策公开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right="0" w:rightChars="0" w:firstLine="640" w:firstLineChars="200"/>
        <w:jc w:val="both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建立健全重大决策公开制度，以此来增强政策制定的透明度。在政策制定前，沅江市人力资源和社会保障局不断夯实意见、建议的收集和整合。凡是涉及群众切身利益的重要改革方案、重大政策措施、重点工程项目，在决策前均做到广泛征求群众意见，并把相关意见收集和采纳情况及时进行公开。为了进一步完善重大行政决策程序规则，把公众参与、专家论证、风险评估、合法性审查和集体讨论决定作为必经程序。在制定相关决策前，对重大决策的合法性进行审核，对重大行政决策，尤其是社保参保、补贴等政策调整进行法律分析，确保政务信息公开相关环节有法可依，有规可依、有章可循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0" w:leftChars="0" w:right="0" w:rightChars="0" w:firstLine="624" w:firstLineChars="0"/>
        <w:jc w:val="both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强化政策解读，突显特色案例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right="0" w:rightChars="0" w:firstLine="640" w:firstLineChars="200"/>
        <w:jc w:val="both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积极参加公众关切的政策内容的解读，并及时准确地对群众关注度比较高的重要会议、重要活动、重大决策、重大突发事件等方面的信息及时回应。对一些专业性很强的政策，相关股室则运用客观数据、文字、图像等方式生动形象地进行解读。主要对参加社会养老保险、养老保险补贴、就业创业等政策进行了解读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left="624" w:leftChars="0" w:right="0" w:rightChars="0"/>
        <w:jc w:val="both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</w:p>
    <w:p>
      <w:pPr>
        <w:widowControl/>
        <w:spacing w:line="600" w:lineRule="exact"/>
        <w:ind w:firstLine="482"/>
        <w:rPr>
          <w:rFonts w:ascii="Times New Roman" w:hAnsi="Times New Roman" w:eastAsia="方正仿宋简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发件</w:t>
            </w:r>
            <w:r>
              <w:rPr>
                <w:rFonts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现行有效件</w:t>
            </w:r>
            <w:r>
              <w:rPr>
                <w:rFonts w:ascii="宋体" w:hAnsi="宋体" w:eastAsia="宋体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宋体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pacing w:line="600" w:lineRule="exact"/>
        <w:ind w:firstLine="482"/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7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9"/>
        <w:gridCol w:w="943"/>
        <w:gridCol w:w="3331"/>
        <w:gridCol w:w="532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504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6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50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然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50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3" w:hRule="atLeast"/>
          <w:jc w:val="center"/>
        </w:trPr>
        <w:tc>
          <w:tcPr>
            <w:tcW w:w="50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50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532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50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pacing w:line="600" w:lineRule="exact"/>
        <w:ind w:firstLine="482"/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590"/>
        <w:gridCol w:w="590"/>
        <w:gridCol w:w="590"/>
        <w:gridCol w:w="591"/>
        <w:gridCol w:w="589"/>
        <w:gridCol w:w="589"/>
        <w:gridCol w:w="589"/>
        <w:gridCol w:w="589"/>
        <w:gridCol w:w="590"/>
        <w:gridCol w:w="589"/>
        <w:gridCol w:w="590"/>
        <w:gridCol w:w="589"/>
        <w:gridCol w:w="590"/>
        <w:gridCol w:w="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8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2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line="480" w:lineRule="auto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widowControl/>
        <w:spacing w:line="600" w:lineRule="exact"/>
        <w:ind w:firstLine="482"/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right="0" w:rightChars="0" w:firstLine="640" w:firstLineChars="200"/>
        <w:jc w:val="both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　2023年，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沅江市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人力资源和社会保障局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信息公开工作取得新成效，但仍存在一些不足：政务公开发展整体水平有待进一步提升；政务公开的深度和广度有待进一步拓展；政策解读的针对性、实用性有待进一步提升。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exact"/>
        <w:ind w:right="0" w:rightChars="0" w:firstLine="640" w:firstLineChars="200"/>
        <w:jc w:val="both"/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下一步，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沅江市</w:t>
      </w: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人力资源和社会保障局</w:t>
      </w: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将持续在主动公开力度、政策解读形式、依申请公开质量、政务服务优化等方面提质增效，更好发挥政务公开在建设法治政府、服务型政府等方面的促进作用。一是</w:t>
      </w:r>
      <w:bookmarkStart w:id="0" w:name="_GoBack"/>
      <w:bookmarkEnd w:id="0"/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全面推进政务公开标准化规范化建设，围绕社会保障、就业服务、群众关切等方面，强化主动公开、丰富公开形式、优化政务服务，以高质量的公开助力沅江市高质量发展。二是用心用情提升政策解读质量，创新政策解读形式、丰富政策解读内容，进一步提高企业和公众对政策的“获得感”。</w:t>
      </w:r>
    </w:p>
    <w:p>
      <w:pPr>
        <w:widowControl/>
        <w:spacing w:line="600" w:lineRule="exact"/>
        <w:ind w:firstLine="482"/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widowControl/>
        <w:spacing w:line="600" w:lineRule="exact"/>
        <w:ind w:firstLine="482"/>
        <w:rPr>
          <w:rFonts w:hint="eastAsia" w:ascii="Arial" w:hAnsi="Arial" w:cs="Arial" w:eastAsiaTheme="minorEastAsia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Arial" w:hAnsi="Arial" w:cs="Arial"/>
          <w:i w:val="0"/>
          <w:iCs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无</w:t>
      </w:r>
    </w:p>
    <w:sectPr>
      <w:footerReference r:id="rId3" w:type="default"/>
      <w:pgSz w:w="11906" w:h="16838"/>
      <w:pgMar w:top="1701" w:right="1418" w:bottom="1701" w:left="1418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Theme="minorEastAsia" w:hAnsiTheme="minorEastAsia"/>
        <w:sz w:val="24"/>
        <w:szCs w:val="24"/>
      </w:rPr>
      <w:t xml:space="preserve">－ </w:t>
    </w:r>
    <w:r>
      <w:rPr>
        <w:rFonts w:asciiTheme="minorEastAsia" w:hAnsiTheme="minorEastAsia"/>
        <w:sz w:val="24"/>
        <w:szCs w:val="24"/>
      </w:rPr>
      <w:fldChar w:fldCharType="begin"/>
    </w:r>
    <w:r>
      <w:rPr>
        <w:rFonts w:asciiTheme="minorEastAsia" w:hAnsiTheme="minorEastAsia"/>
        <w:sz w:val="24"/>
        <w:szCs w:val="24"/>
      </w:rPr>
      <w:instrText xml:space="preserve"> PAGE   \* MERGEFORMAT </w:instrText>
    </w:r>
    <w:r>
      <w:rPr>
        <w:rFonts w:asciiTheme="minorEastAsia" w:hAnsiTheme="minorEastAsia"/>
        <w:sz w:val="24"/>
        <w:szCs w:val="24"/>
      </w:rPr>
      <w:fldChar w:fldCharType="separate"/>
    </w:r>
    <w:r>
      <w:rPr>
        <w:rFonts w:asciiTheme="minorEastAsia" w:hAnsiTheme="minorEastAsia"/>
        <w:sz w:val="24"/>
        <w:szCs w:val="24"/>
        <w:lang w:val="zh-CN"/>
      </w:rPr>
      <w:t>8</w:t>
    </w:r>
    <w:r>
      <w:rPr>
        <w:rFonts w:asciiTheme="minorEastAsia" w:hAnsiTheme="minorEastAsia"/>
        <w:sz w:val="24"/>
        <w:szCs w:val="24"/>
      </w:rPr>
      <w:fldChar w:fldCharType="end"/>
    </w:r>
    <w:r>
      <w:rPr>
        <w:rFonts w:hint="eastAsia" w:asciiTheme="minorEastAsia" w:hAnsiTheme="minorEastAsia"/>
        <w:sz w:val="24"/>
        <w:szCs w:val="24"/>
      </w:rPr>
      <w:t xml:space="preserve"> 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D4E7A2"/>
    <w:multiLevelType w:val="singleLevel"/>
    <w:tmpl w:val="55D4E7A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jcxZGYyYThiOTE0ZWQ3MmZmNmVlZTIxNjA0NmUifQ=="/>
  </w:docVars>
  <w:rsids>
    <w:rsidRoot w:val="006C3684"/>
    <w:rsid w:val="001F7474"/>
    <w:rsid w:val="00246325"/>
    <w:rsid w:val="002D1CCC"/>
    <w:rsid w:val="0032131C"/>
    <w:rsid w:val="003C42DB"/>
    <w:rsid w:val="006C3684"/>
    <w:rsid w:val="00CB548E"/>
    <w:rsid w:val="088272FC"/>
    <w:rsid w:val="0A666B2A"/>
    <w:rsid w:val="0F881679"/>
    <w:rsid w:val="116C4A55"/>
    <w:rsid w:val="13C5094E"/>
    <w:rsid w:val="19655830"/>
    <w:rsid w:val="1A266324"/>
    <w:rsid w:val="1AE461A5"/>
    <w:rsid w:val="20895851"/>
    <w:rsid w:val="275E26B8"/>
    <w:rsid w:val="2E956C40"/>
    <w:rsid w:val="2F762E69"/>
    <w:rsid w:val="32095986"/>
    <w:rsid w:val="35F6354D"/>
    <w:rsid w:val="38210FAD"/>
    <w:rsid w:val="38AD6F2F"/>
    <w:rsid w:val="3A637262"/>
    <w:rsid w:val="3EC80563"/>
    <w:rsid w:val="49B94FE5"/>
    <w:rsid w:val="4E0336C0"/>
    <w:rsid w:val="575FA6A6"/>
    <w:rsid w:val="6A010B24"/>
    <w:rsid w:val="6F9861EF"/>
    <w:rsid w:val="7E19474F"/>
    <w:rsid w:val="7F58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22"/>
    <w:rPr>
      <w:sz w:val="24"/>
      <w:szCs w:val="24"/>
    </w:rPr>
  </w:style>
  <w:style w:type="character" w:styleId="8">
    <w:name w:val="FollowedHyperlink"/>
    <w:basedOn w:val="6"/>
    <w:autoRedefine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6"/>
    <w:autoRedefine/>
    <w:qFormat/>
    <w:uiPriority w:val="20"/>
    <w:rPr>
      <w:sz w:val="24"/>
      <w:szCs w:val="24"/>
    </w:rPr>
  </w:style>
  <w:style w:type="character" w:styleId="10">
    <w:name w:val="Hyperlink"/>
    <w:basedOn w:val="6"/>
    <w:autoRedefine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autoRedefine/>
    <w:qFormat/>
    <w:uiPriority w:val="0"/>
    <w:rPr>
      <w:sz w:val="18"/>
      <w:szCs w:val="18"/>
    </w:rPr>
  </w:style>
  <w:style w:type="character" w:customStyle="1" w:styleId="13">
    <w:name w:val="before1"/>
    <w:basedOn w:val="6"/>
    <w:autoRedefine/>
    <w:qFormat/>
    <w:uiPriority w:val="0"/>
    <w:rPr>
      <w:bdr w:val="single" w:color="0466C7" w:sz="36" w:space="0"/>
    </w:rPr>
  </w:style>
  <w:style w:type="character" w:customStyle="1" w:styleId="14">
    <w:name w:val="hover14"/>
    <w:basedOn w:val="6"/>
    <w:autoRedefine/>
    <w:qFormat/>
    <w:uiPriority w:val="0"/>
    <w:rPr>
      <w:color w:val="000000"/>
      <w:shd w:val="clear" w:fill="FFFFFF"/>
    </w:rPr>
  </w:style>
  <w:style w:type="character" w:customStyle="1" w:styleId="15">
    <w:name w:val="wx-space"/>
    <w:basedOn w:val="6"/>
    <w:autoRedefine/>
    <w:qFormat/>
    <w:uiPriority w:val="0"/>
  </w:style>
  <w:style w:type="character" w:customStyle="1" w:styleId="16">
    <w:name w:val="wx-space1"/>
    <w:basedOn w:val="6"/>
    <w:autoRedefine/>
    <w:qFormat/>
    <w:uiPriority w:val="0"/>
  </w:style>
  <w:style w:type="character" w:customStyle="1" w:styleId="17">
    <w:name w:val="before"/>
    <w:basedOn w:val="6"/>
    <w:autoRedefine/>
    <w:qFormat/>
    <w:uiPriority w:val="0"/>
    <w:rPr>
      <w:bdr w:val="single" w:color="0466C7" w:sz="36" w:space="0"/>
    </w:rPr>
  </w:style>
  <w:style w:type="character" w:customStyle="1" w:styleId="18">
    <w:name w:val="hover"/>
    <w:basedOn w:val="6"/>
    <w:autoRedefine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6</Pages>
  <Words>2526</Words>
  <Characters>2622</Characters>
  <Lines>34</Lines>
  <Paragraphs>9</Paragraphs>
  <TotalTime>9</TotalTime>
  <ScaleCrop>false</ScaleCrop>
  <LinksUpToDate>false</LinksUpToDate>
  <CharactersWithSpaces>2792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2022-03-25T12:12:00Z</dcterms:created>
  <dc:creator>Micorosoft</dc:creator>
  <cp:lastModifiedBy>Yu 果</cp:lastModifiedBy>
  <cp:lastPrinted>2022-07-08T07:53:00Z</cp:lastPrinted>
  <dcterms:modified xsi:type="dcterms:W3CDTF">2024-01-16T07:48:25Z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984F62FB2B684A49A9B8C5AC325C50E2_13</vt:lpwstr>
  </property>
</Properties>
</file>