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sz w:val="56"/>
          <w:szCs w:val="56"/>
        </w:rPr>
      </w:pPr>
    </w:p>
    <w:p>
      <w:pPr>
        <w:pStyle w:val="13"/>
        <w:jc w:val="center"/>
        <w:rPr>
          <w:sz w:val="56"/>
          <w:szCs w:val="56"/>
        </w:rPr>
      </w:pPr>
    </w:p>
    <w:p>
      <w:pPr>
        <w:pStyle w:val="13"/>
        <w:jc w:val="center"/>
        <w:rPr>
          <w:sz w:val="84"/>
          <w:szCs w:val="84"/>
        </w:rPr>
      </w:pPr>
    </w:p>
    <w:p>
      <w:pPr>
        <w:pStyle w:val="13"/>
        <w:jc w:val="center"/>
        <w:rPr>
          <w:sz w:val="84"/>
          <w:szCs w:val="84"/>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沅江市水利局部门决算</w:t>
      </w:r>
    </w:p>
    <w:p>
      <w:pPr>
        <w:pStyle w:val="13"/>
        <w:jc w:val="center"/>
        <w:rPr>
          <w:rFonts w:hint="eastAsia" w:ascii="方正小标宋_GBK" w:hAnsi="方正小标宋_GBK" w:eastAsia="方正小标宋_GBK" w:cs="方正小标宋_GBK"/>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spacing w:line="540" w:lineRule="exact"/>
        <w:jc w:val="center"/>
        <w:rPr>
          <w:sz w:val="56"/>
          <w:szCs w:val="56"/>
        </w:rPr>
      </w:pPr>
    </w:p>
    <w:p>
      <w:pPr>
        <w:pStyle w:val="13"/>
        <w:spacing w:line="500" w:lineRule="exact"/>
        <w:jc w:val="both"/>
        <w:rPr>
          <w:b/>
          <w:sz w:val="36"/>
          <w:szCs w:val="28"/>
        </w:rPr>
      </w:pPr>
    </w:p>
    <w:p>
      <w:pPr>
        <w:pStyle w:val="13"/>
        <w:spacing w:line="500" w:lineRule="exact"/>
        <w:jc w:val="center"/>
        <w:rPr>
          <w:b/>
          <w:sz w:val="36"/>
          <w:szCs w:val="28"/>
        </w:rPr>
      </w:pPr>
      <w:r>
        <w:rPr>
          <w:rFonts w:hint="eastAsia"/>
          <w:b/>
          <w:sz w:val="36"/>
          <w:szCs w:val="28"/>
        </w:rPr>
        <w:t>目录</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hAnsi="黑体" w:cs="黑体"/>
          <w:b w:val="0"/>
          <w:bCs/>
          <w:sz w:val="28"/>
          <w:szCs w:val="28"/>
          <w:lang w:val="en-US" w:eastAsia="zh-CN"/>
        </w:rPr>
        <w:t xml:space="preserve"> </w:t>
      </w:r>
      <w:r>
        <w:rPr>
          <w:rFonts w:hint="eastAsia" w:ascii="黑体" w:hAnsi="黑体" w:eastAsia="黑体" w:cs="黑体"/>
          <w:b w:val="0"/>
          <w:bCs/>
          <w:sz w:val="28"/>
          <w:szCs w:val="28"/>
          <w:lang w:val="en-US" w:eastAsia="zh-CN"/>
        </w:rPr>
        <w:t>沅江市水利局本级</w:t>
      </w:r>
      <w:r>
        <w:rPr>
          <w:rFonts w:hint="eastAsia" w:ascii="黑体" w:hAnsi="黑体" w:eastAsia="黑体" w:cs="黑体"/>
          <w:b w:val="0"/>
          <w:bCs/>
          <w:sz w:val="28"/>
          <w:szCs w:val="28"/>
        </w:rPr>
        <w:t>概况</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3"/>
        <w:jc w:val="center"/>
        <w:rPr>
          <w:rFonts w:hint="eastAsia" w:ascii="方正小标宋_GBK" w:hAnsi="方正小标宋_GBK" w:eastAsia="方正小标宋_GBK" w:cs="方正小标宋_GBK"/>
          <w:sz w:val="84"/>
          <w:szCs w:val="84"/>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沅江市水利局</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4"/>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（一）贯彻国家有关水利的法律法规和国家水利工作的方针、政策,并监督检查执行。</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（二）拟订全市水利工作的发展战略、中长期规划和年度计划,并监督实施。</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（三）负责全市水资源(含中水、地表水、地下水)的统一管理, 维护正常的水事秩序；拟订水资源保护规划,组织指导水功能区的划分, 提出不同水功能区限制排污总量控制意见；制定全市水长期供求计划、水量分配方案,保护水资源并负责监督管理；组织实施取水许可制度,管理城乡节约用水工作；</w:t>
      </w:r>
      <w:r>
        <w:rPr>
          <w:rFonts w:hint="eastAsia" w:ascii="Times New Roman" w:hAnsi="Times New Roman" w:eastAsia="仿宋_GB2312" w:cs="仿宋_GB2312"/>
          <w:sz w:val="32"/>
          <w:szCs w:val="32"/>
          <w:lang w:val="en-US" w:eastAsia="zh-CN"/>
        </w:rPr>
        <w:t>负责</w:t>
      </w:r>
      <w:r>
        <w:rPr>
          <w:rFonts w:hint="eastAsia" w:ascii="Times New Roman" w:hAnsi="Times New Roman" w:eastAsia="仿宋_GB2312" w:cs="仿宋_GB2312"/>
          <w:sz w:val="32"/>
          <w:szCs w:val="32"/>
        </w:rPr>
        <w:t>水资源费的征收。</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（四）制定水利行业经济发展规划；负责水利行业的国有资产保值增值的监管, 对水利资金的使用进行监管；负责管理全市水利经济工作 。</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负责全市水利建设与管理。负责组织编制、审查水利基建项目可行性报告、规划和设计；负责对全市水利工程建设质量进行监督；负责管理一线防洪大提、重点间提、渍堤和跨乡镇的重要水利工程；负责水利血防灭螺工作。</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负责全市河道、湖泊、水库的综合治理工作；负责组织、实施、指导水利设施、水域及岸线的管理与保护，组织实施指导河口滩洲的治理和开发，负责河道采砂、取土管理费的征收；协同有关部门组织对河道疏浚和防洪大堤的加固,负责汛期河道、湖泊的控障、清障管理工作。</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（七）负责全市水土保持、水土保持监测和综合防治工作；负责水土保持规费征收制度的实施。</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（八）承担市防汛抗旱指挥部的日常工作；组织、协调、监督、指导全市防汛抗旱工作,对防汛物资的采购、储备、供应、调度实行行业管理；承担水利突发公共事件的应急管理工作。</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（九）指导农村水利工作；组织协调水利建设、乡镇供水、节水灌溉工作；管理和监督全市机电排灌的规划建设, 指导全市机电排灌设施的维修工作 。</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（十）负责全市农村饮水安全工程的规划、建设和管理工作。</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（十一）负责全市蓄洪安全建设, 工程运行管理与维护。</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（十二）负责水政监察和水行政执法,负责调处、仲裁水事纠纷。</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（十三）承办市委、 市人民政府及上级业务部门交办的其他工作。</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w:t>
      </w:r>
      <w:r>
        <w:rPr>
          <w:rFonts w:hint="eastAsia" w:ascii="Times New Roman" w:hAnsi="Times New Roman" w:eastAsia="仿宋_GB2312" w:cs="仿宋_GB2312"/>
          <w:bCs/>
          <w:kern w:val="0"/>
          <w:sz w:val="32"/>
          <w:szCs w:val="32"/>
          <w:lang w:val="en-US" w:eastAsia="zh-CN"/>
        </w:rPr>
        <w:t>水利局</w:t>
      </w:r>
      <w:r>
        <w:rPr>
          <w:rFonts w:hint="eastAsia" w:ascii="Times New Roman" w:hAnsi="Times New Roman" w:eastAsia="仿宋_GB2312" w:cs="仿宋_GB2312"/>
          <w:bCs/>
          <w:kern w:val="0"/>
          <w:sz w:val="32"/>
          <w:szCs w:val="32"/>
        </w:rPr>
        <w:t>内设机构包括：</w:t>
      </w:r>
      <w:r>
        <w:rPr>
          <w:rFonts w:hint="eastAsia" w:ascii="仿宋_GB2312" w:hAnsi="仿宋" w:eastAsia="仿宋_GB2312"/>
          <w:sz w:val="32"/>
          <w:szCs w:val="32"/>
          <w:lang w:val="en-US" w:eastAsia="zh-CN"/>
        </w:rPr>
        <w:t>2022年沅江市水利局所属事业单位17个，其中：基层水管站14个（其中12个因改革归属于其所在镇街道，但其财务实行五年过渡期，由市水利局实行综合预算管理）、局直属独立二级事业机构4个。机构变动的主要原因是：改制单位已不纳入局机构管理。</w:t>
      </w:r>
    </w:p>
    <w:p>
      <w:pPr>
        <w:widowControl/>
        <w:spacing w:line="600" w:lineRule="exact"/>
        <w:rPr>
          <w:rFonts w:hint="default" w:ascii="仿宋_GB2312" w:eastAsia="仿宋_GB2312" w:hAnsiTheme="minorEastAsia"/>
          <w:sz w:val="28"/>
          <w:szCs w:val="32"/>
          <w:lang w:val="en-US"/>
        </w:rPr>
      </w:pPr>
      <w:r>
        <w:rPr>
          <w:rFonts w:hint="eastAsia" w:ascii="Times New Roman" w:hAnsi="Times New Roman" w:eastAsia="仿宋_GB2312" w:cs="仿宋_GB2312"/>
          <w:bCs/>
          <w:kern w:val="0"/>
          <w:sz w:val="32"/>
          <w:szCs w:val="32"/>
        </w:rPr>
        <w:t>（二）决算单位构成。</w:t>
      </w:r>
      <w:r>
        <w:rPr>
          <w:rFonts w:hint="eastAsia" w:ascii="Times New Roman" w:hAnsi="Times New Roman" w:eastAsia="仿宋_GB2312" w:cs="仿宋_GB2312"/>
          <w:bCs/>
          <w:kern w:val="0"/>
          <w:sz w:val="32"/>
          <w:szCs w:val="32"/>
          <w:lang w:val="en-US" w:eastAsia="zh-CN"/>
        </w:rPr>
        <w:t>水利局</w:t>
      </w:r>
      <w:r>
        <w:rPr>
          <w:rFonts w:hint="eastAsia" w:ascii="Times New Roman" w:hAnsi="Times New Roman" w:eastAsia="仿宋_GB2312" w:cs="仿宋_GB2312"/>
          <w:bCs/>
          <w:kern w:val="0"/>
          <w:sz w:val="32"/>
          <w:szCs w:val="32"/>
        </w:rPr>
        <w:t>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年部门决算汇总公开单位构成包括：</w:t>
      </w:r>
      <w:r>
        <w:rPr>
          <w:rFonts w:hint="eastAsia" w:ascii="Times New Roman" w:hAnsi="Times New Roman" w:eastAsia="仿宋_GB2312" w:cs="仿宋_GB2312"/>
          <w:bCs/>
          <w:kern w:val="0"/>
          <w:sz w:val="32"/>
          <w:szCs w:val="32"/>
          <w:lang w:val="en-US" w:eastAsia="zh-CN"/>
        </w:rPr>
        <w:t>水利局</w:t>
      </w:r>
      <w:r>
        <w:rPr>
          <w:rFonts w:hint="eastAsia" w:ascii="Times New Roman" w:hAnsi="Times New Roman" w:eastAsia="仿宋_GB2312" w:cs="仿宋_GB2312"/>
          <w:bCs/>
          <w:kern w:val="0"/>
          <w:sz w:val="32"/>
          <w:szCs w:val="32"/>
        </w:rPr>
        <w:t>本级以及</w:t>
      </w:r>
      <w:r>
        <w:rPr>
          <w:rFonts w:hint="eastAsia" w:ascii="Times New Roman" w:hAnsi="Times New Roman" w:eastAsia="仿宋_GB2312" w:cs="仿宋_GB2312"/>
          <w:bCs/>
          <w:kern w:val="0"/>
          <w:sz w:val="32"/>
          <w:szCs w:val="32"/>
          <w:lang w:val="en-US" w:eastAsia="zh-CN"/>
        </w:rPr>
        <w:t>水利局系统、共华镇水利管理站、茶盘洲镇水利管理站、黄茅洲镇水利管理站、漉湖水利管理站、南大膳镇水利管理站、南洞庭水利管理站、四季红水利管理站、草尾镇水利管理站、南嘴镇水利管理站、阳罗洲镇水利管理站、新湾镇水利管理站、胭脂湖镇水利管理站、城区水利管理站、泗湖山镇水利管理站、排灌建设服务站、挖泥船队、紫红洲电力排灌站、河道湖泊管理站。</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pStyle w:val="13"/>
        <w:jc w:val="center"/>
        <w:rPr>
          <w:rFonts w:hint="eastAsia" w:ascii="方正小标宋_GBK" w:hAnsi="方正小标宋_GBK" w:eastAsia="方正小标宋_GBK" w:cs="方正小标宋_GBK"/>
          <w:sz w:val="84"/>
          <w:szCs w:val="84"/>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3"/>
        <w:jc w:val="center"/>
        <w:rPr>
          <w:rFonts w:hint="eastAsia" w:ascii="方正小标宋_GBK" w:hAnsi="方正小标宋_GBK" w:eastAsia="方正小标宋_GBK" w:cs="方正小标宋_GBK"/>
          <w:sz w:val="84"/>
          <w:szCs w:val="84"/>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8"/>
        <w:tblW w:w="15428" w:type="dxa"/>
        <w:tblInd w:w="0" w:type="dxa"/>
        <w:tblLayout w:type="fixed"/>
        <w:tblCellMar>
          <w:top w:w="0" w:type="dxa"/>
          <w:left w:w="0" w:type="dxa"/>
          <w:bottom w:w="0" w:type="dxa"/>
          <w:right w:w="0" w:type="dxa"/>
        </w:tblCellMar>
      </w:tblPr>
      <w:tblGrid>
        <w:gridCol w:w="272"/>
        <w:gridCol w:w="272"/>
        <w:gridCol w:w="1481"/>
        <w:gridCol w:w="1806"/>
        <w:gridCol w:w="1806"/>
        <w:gridCol w:w="1806"/>
        <w:gridCol w:w="1806"/>
        <w:gridCol w:w="1807"/>
        <w:gridCol w:w="1807"/>
        <w:gridCol w:w="2565"/>
      </w:tblGrid>
      <w:tr>
        <w:tblPrEx>
          <w:tblCellMar>
            <w:top w:w="0" w:type="dxa"/>
            <w:left w:w="0" w:type="dxa"/>
            <w:bottom w:w="0" w:type="dxa"/>
            <w:right w:w="0" w:type="dxa"/>
          </w:tblCellMar>
        </w:tblPrEx>
        <w:trPr>
          <w:trHeight w:val="706"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tbl>
            <w:tblPr>
              <w:tblStyle w:val="8"/>
              <w:tblW w:w="15398"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45"/>
              <w:gridCol w:w="576"/>
              <w:gridCol w:w="1316"/>
              <w:gridCol w:w="4695"/>
              <w:gridCol w:w="1576"/>
              <w:gridCol w:w="569"/>
              <w:gridCol w:w="720"/>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395" w:type="dxa"/>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p>
              </w:tc>
              <w:tc>
                <w:tcPr>
                  <w:tcW w:w="599"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386"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4980"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683" w:type="dxa"/>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2355" w:type="dxa"/>
                  <w:gridSpan w:val="2"/>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539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3823"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61"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226"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862"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264"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662"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3823"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61"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226"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862"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264"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662"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27" w:type="dxa"/>
                <w:trHeight w:val="448" w:hRule="atLeast"/>
              </w:trPr>
              <w:tc>
                <w:tcPr>
                  <w:tcW w:w="561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7491"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27" w:type="dxa"/>
                <w:trHeight w:val="628" w:hRule="atLeast"/>
              </w:trPr>
              <w:tc>
                <w:tcPr>
                  <w:tcW w:w="38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5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4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5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27" w:type="dxa"/>
                <w:trHeight w:val="448" w:hRule="atLeast"/>
              </w:trPr>
              <w:tc>
                <w:tcPr>
                  <w:tcW w:w="38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5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135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27" w:type="dxa"/>
                <w:trHeight w:val="448" w:hRule="atLeast"/>
              </w:trPr>
              <w:tc>
                <w:tcPr>
                  <w:tcW w:w="3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5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8354.59</w:t>
                  </w:r>
                </w:p>
              </w:tc>
              <w:tc>
                <w:tcPr>
                  <w:tcW w:w="4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3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194.10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27" w:type="dxa"/>
                <w:trHeight w:val="448" w:hRule="atLeast"/>
              </w:trPr>
              <w:tc>
                <w:tcPr>
                  <w:tcW w:w="38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5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115.50</w:t>
                  </w:r>
                </w:p>
              </w:tc>
              <w:tc>
                <w:tcPr>
                  <w:tcW w:w="4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27" w:type="dxa"/>
                <w:trHeight w:val="448" w:hRule="atLeast"/>
              </w:trPr>
              <w:tc>
                <w:tcPr>
                  <w:tcW w:w="3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5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4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27" w:type="dxa"/>
                <w:trHeight w:val="448" w:hRule="atLeast"/>
              </w:trPr>
              <w:tc>
                <w:tcPr>
                  <w:tcW w:w="38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5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3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27" w:type="dxa"/>
                <w:trHeight w:val="448" w:hRule="atLeast"/>
              </w:trPr>
              <w:tc>
                <w:tcPr>
                  <w:tcW w:w="38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5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3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27" w:type="dxa"/>
                <w:trHeight w:val="448" w:hRule="atLeast"/>
              </w:trPr>
              <w:tc>
                <w:tcPr>
                  <w:tcW w:w="38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5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3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27" w:type="dxa"/>
                <w:trHeight w:val="448" w:hRule="atLeast"/>
              </w:trPr>
              <w:tc>
                <w:tcPr>
                  <w:tcW w:w="38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5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10118.43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27" w:type="dxa"/>
                <w:trHeight w:val="448" w:hRule="atLeast"/>
              </w:trPr>
              <w:tc>
                <w:tcPr>
                  <w:tcW w:w="38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5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875.87</w:t>
                  </w:r>
                </w:p>
              </w:tc>
              <w:tc>
                <w:tcPr>
                  <w:tcW w:w="4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27" w:type="dxa"/>
                <w:trHeight w:val="448" w:hRule="atLeast"/>
              </w:trPr>
              <w:tc>
                <w:tcPr>
                  <w:tcW w:w="3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27" w:type="dxa"/>
                <w:trHeight w:val="448" w:hRule="atLeast"/>
              </w:trPr>
              <w:tc>
                <w:tcPr>
                  <w:tcW w:w="3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9345.96</w:t>
                  </w:r>
                </w:p>
              </w:tc>
              <w:tc>
                <w:tcPr>
                  <w:tcW w:w="4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3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10312.53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27" w:type="dxa"/>
                <w:trHeight w:val="448" w:hRule="atLeast"/>
              </w:trPr>
              <w:tc>
                <w:tcPr>
                  <w:tcW w:w="3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5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3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27" w:type="dxa"/>
                <w:trHeight w:val="628" w:hRule="atLeast"/>
              </w:trPr>
              <w:tc>
                <w:tcPr>
                  <w:tcW w:w="3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5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1844.62</w:t>
                  </w:r>
                </w:p>
              </w:tc>
              <w:tc>
                <w:tcPr>
                  <w:tcW w:w="4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3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878.05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27" w:type="dxa"/>
                <w:trHeight w:val="448" w:hRule="atLeast"/>
              </w:trPr>
              <w:tc>
                <w:tcPr>
                  <w:tcW w:w="38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11190.58</w:t>
                  </w:r>
                </w:p>
              </w:tc>
              <w:tc>
                <w:tcPr>
                  <w:tcW w:w="4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3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11190.58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15398"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注：1.本表反映部门本年度的总收支和年末结转结余情况。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tc>
            </w:tr>
          </w:tbl>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7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7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56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544"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14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6"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8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56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02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80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80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80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80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80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80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56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54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56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54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56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25"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8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8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8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8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80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80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5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2025"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9345.96</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8470.08</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25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54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201</w:t>
            </w:r>
          </w:p>
        </w:tc>
        <w:tc>
          <w:tcPr>
            <w:tcW w:w="14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tabs>
                <w:tab w:val="center" w:pos="725"/>
              </w:tabs>
              <w:rPr>
                <w:rFonts w:hint="eastAsia" w:ascii="宋体" w:hAnsi="宋体" w:cs="宋体" w:eastAsiaTheme="minorEastAsia"/>
                <w:sz w:val="24"/>
                <w:szCs w:val="24"/>
                <w:lang w:eastAsia="zh-CN"/>
              </w:rPr>
            </w:pPr>
            <w:r>
              <w:rPr>
                <w:rFonts w:hint="eastAsia"/>
              </w:rPr>
              <w:t>　</w:t>
            </w:r>
            <w:r>
              <w:rPr>
                <w:rFonts w:hint="eastAsia"/>
                <w:lang w:eastAsia="zh-CN"/>
              </w:rPr>
              <w:tab/>
            </w:r>
            <w:r>
              <w:rPr>
                <w:rFonts w:hint="eastAsia"/>
                <w:lang w:eastAsia="zh-CN"/>
              </w:rPr>
              <w:t>一般公共服务支出</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194.1</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194.1</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25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54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208</w:t>
            </w:r>
          </w:p>
        </w:tc>
        <w:tc>
          <w:tcPr>
            <w:tcW w:w="14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社会保障和就业支出</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sz w:val="24"/>
                <w:szCs w:val="24"/>
              </w:rPr>
            </w:pPr>
            <w:r>
              <w:rPr>
                <w:rFonts w:hint="eastAsia" w:ascii="华文中宋" w:hAnsi="华文中宋" w:eastAsia="华文中宋"/>
                <w:lang w:val="en-US" w:eastAsia="zh-CN"/>
              </w:rPr>
              <w:t>44.29</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44.29</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25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54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213</w:t>
            </w:r>
          </w:p>
        </w:tc>
        <w:tc>
          <w:tcPr>
            <w:tcW w:w="14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农林水支出</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7837.66</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7837.66</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25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54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221</w:t>
            </w:r>
          </w:p>
        </w:tc>
        <w:tc>
          <w:tcPr>
            <w:tcW w:w="14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住房保障支出</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180.75</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180.75</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25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54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224</w:t>
            </w:r>
          </w:p>
        </w:tc>
        <w:tc>
          <w:tcPr>
            <w:tcW w:w="14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灾害防治及应急管理支出</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2.95</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2.95</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25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54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229</w:t>
            </w:r>
          </w:p>
        </w:tc>
        <w:tc>
          <w:tcPr>
            <w:tcW w:w="14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其他支出</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1086.2</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210.32</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25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875.87</w:t>
            </w: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8"/>
        <w:tblW w:w="15640" w:type="dxa"/>
        <w:tblInd w:w="93" w:type="dxa"/>
        <w:tblLayout w:type="fixed"/>
        <w:tblCellMar>
          <w:top w:w="0" w:type="dxa"/>
          <w:left w:w="108" w:type="dxa"/>
          <w:bottom w:w="0" w:type="dxa"/>
          <w:right w:w="108" w:type="dxa"/>
        </w:tblCellMar>
      </w:tblPr>
      <w:tblGrid>
        <w:gridCol w:w="1236"/>
        <w:gridCol w:w="240"/>
        <w:gridCol w:w="1504"/>
        <w:gridCol w:w="1952"/>
        <w:gridCol w:w="1991"/>
        <w:gridCol w:w="1991"/>
        <w:gridCol w:w="1991"/>
        <w:gridCol w:w="1991"/>
        <w:gridCol w:w="2744"/>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0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123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0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76"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50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10312.53</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2059.32</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8253.21</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7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201</w:t>
            </w:r>
          </w:p>
        </w:tc>
        <w:tc>
          <w:tcPr>
            <w:tcW w:w="1504" w:type="dxa"/>
            <w:tcBorders>
              <w:top w:val="nil"/>
              <w:left w:val="nil"/>
              <w:bottom w:val="single" w:color="auto" w:sz="4" w:space="0"/>
              <w:right w:val="single" w:color="auto" w:sz="4" w:space="0"/>
            </w:tcBorders>
            <w:shd w:val="clear" w:color="000000" w:fill="FFFFFF"/>
            <w:noWrap/>
            <w:vAlign w:val="center"/>
          </w:tcPr>
          <w:p>
            <w:pPr>
              <w:tabs>
                <w:tab w:val="center" w:pos="725"/>
              </w:tabs>
              <w:jc w:val="center"/>
              <w:rPr>
                <w:rFonts w:hint="eastAsia" w:ascii="宋体" w:hAnsi="宋体" w:cs="宋体" w:eastAsiaTheme="minorEastAsia"/>
                <w:kern w:val="2"/>
                <w:sz w:val="24"/>
                <w:szCs w:val="24"/>
                <w:lang w:val="en-US" w:eastAsia="zh-CN" w:bidi="ar-SA"/>
              </w:rPr>
            </w:pPr>
            <w:r>
              <w:rPr>
                <w:rFonts w:hint="eastAsia"/>
                <w:lang w:eastAsia="zh-CN"/>
              </w:rPr>
              <w:t>一般公共服务支出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194.1</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0.1</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194</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7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208</w:t>
            </w:r>
          </w:p>
        </w:tc>
        <w:tc>
          <w:tcPr>
            <w:tcW w:w="150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2"/>
                <w:sz w:val="24"/>
                <w:szCs w:val="24"/>
                <w:lang w:val="en-US" w:eastAsia="zh-CN" w:bidi="ar-SA"/>
              </w:rPr>
            </w:pPr>
            <w:r>
              <w:rPr>
                <w:rFonts w:hint="eastAsia"/>
              </w:rPr>
              <w:t>社会保障和就业支出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44.29</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44.29</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7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213</w:t>
            </w:r>
          </w:p>
        </w:tc>
        <w:tc>
          <w:tcPr>
            <w:tcW w:w="1504" w:type="dxa"/>
            <w:tcBorders>
              <w:top w:val="nil"/>
              <w:left w:val="nil"/>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农林水支出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9193.87</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1816.54</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7377.33</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7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221</w:t>
            </w:r>
          </w:p>
        </w:tc>
        <w:tc>
          <w:tcPr>
            <w:tcW w:w="1504" w:type="dxa"/>
            <w:tcBorders>
              <w:top w:val="nil"/>
              <w:left w:val="nil"/>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住房保障支出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180.75</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180.75</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7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224</w:t>
            </w:r>
          </w:p>
        </w:tc>
        <w:tc>
          <w:tcPr>
            <w:tcW w:w="150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2"/>
                <w:sz w:val="24"/>
                <w:szCs w:val="24"/>
                <w:lang w:val="en-US" w:eastAsia="zh-CN" w:bidi="ar-SA"/>
              </w:rPr>
            </w:pPr>
            <w:r>
              <w:rPr>
                <w:rFonts w:hint="eastAsia"/>
              </w:rPr>
              <w:t>灾害防治及应急管理支出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2.95</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2.95</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7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229</w:t>
            </w:r>
          </w:p>
        </w:tc>
        <w:tc>
          <w:tcPr>
            <w:tcW w:w="1504" w:type="dxa"/>
            <w:tcBorders>
              <w:top w:val="nil"/>
              <w:left w:val="nil"/>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其他支出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696.57</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17.64</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678.93</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8"/>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8354.59</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194.1</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194.1</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115.5</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8366.03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8250.53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115.5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8470.08</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8560.13</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8444.63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115.5</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90.04</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90.04</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8560.13</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8560.13</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8444.63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115.5</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8"/>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8444.63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2042.73</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6401.9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201</w:t>
            </w:r>
          </w:p>
        </w:tc>
        <w:tc>
          <w:tcPr>
            <w:tcW w:w="3527" w:type="dxa"/>
            <w:tcBorders>
              <w:top w:val="nil"/>
              <w:left w:val="nil"/>
              <w:bottom w:val="single" w:color="auto" w:sz="4" w:space="0"/>
              <w:right w:val="single" w:color="auto" w:sz="4" w:space="0"/>
            </w:tcBorders>
            <w:shd w:val="clear" w:color="auto" w:fill="auto"/>
            <w:vAlign w:val="center"/>
          </w:tcPr>
          <w:p>
            <w:pPr>
              <w:tabs>
                <w:tab w:val="center" w:pos="725"/>
              </w:tabs>
              <w:rPr>
                <w:rFonts w:hint="eastAsia" w:ascii="宋体" w:hAnsi="宋体" w:cs="宋体" w:eastAsiaTheme="minorEastAsia"/>
                <w:kern w:val="2"/>
                <w:sz w:val="24"/>
                <w:szCs w:val="24"/>
                <w:lang w:val="en-US" w:eastAsia="zh-CN" w:bidi="ar-SA"/>
              </w:rPr>
            </w:pPr>
            <w:r>
              <w:rPr>
                <w:rFonts w:hint="eastAsia"/>
              </w:rPr>
              <w:t>　</w:t>
            </w:r>
            <w:r>
              <w:rPr>
                <w:rFonts w:hint="eastAsia"/>
                <w:lang w:eastAsia="zh-CN"/>
              </w:rPr>
              <w:tab/>
            </w:r>
            <w:r>
              <w:rPr>
                <w:rFonts w:hint="eastAsia"/>
                <w:lang w:eastAsia="zh-CN"/>
              </w:rPr>
              <w:t>一般公共服务支出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194.1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208</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2"/>
                <w:sz w:val="24"/>
                <w:szCs w:val="24"/>
                <w:lang w:val="en-US" w:eastAsia="zh-CN" w:bidi="ar-SA"/>
              </w:rPr>
            </w:pPr>
            <w:r>
              <w:rPr>
                <w:rFonts w:hint="eastAsia"/>
              </w:rPr>
              <w:t>　社会保障和就业支出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44.29</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44.29</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213</w:t>
            </w:r>
          </w:p>
        </w:tc>
        <w:tc>
          <w:tcPr>
            <w:tcW w:w="3527" w:type="dxa"/>
            <w:tcBorders>
              <w:top w:val="nil"/>
              <w:left w:val="nil"/>
              <w:bottom w:val="single" w:color="auto" w:sz="4" w:space="0"/>
              <w:right w:val="single" w:color="auto" w:sz="4" w:space="0"/>
            </w:tcBorders>
            <w:shd w:val="clear" w:color="auto" w:fill="auto"/>
            <w:vAlign w:val="center"/>
          </w:tcPr>
          <w:p>
            <w:pPr>
              <w:rPr>
                <w:rFonts w:hint="default" w:ascii="宋体" w:hAnsi="宋体" w:cs="宋体" w:eastAsiaTheme="minorEastAsia"/>
                <w:kern w:val="2"/>
                <w:sz w:val="24"/>
                <w:szCs w:val="24"/>
                <w:lang w:val="en-US" w:eastAsia="zh-CN" w:bidi="ar-SA"/>
              </w:rPr>
            </w:pPr>
            <w:r>
              <w:rPr>
                <w:rFonts w:hint="eastAsia"/>
              </w:rPr>
              <w:t>　</w:t>
            </w:r>
            <w:r>
              <w:rPr>
                <w:rFonts w:hint="eastAsia"/>
                <w:lang w:val="en-US" w:eastAsia="zh-CN"/>
              </w:rPr>
              <w:t>农林水支出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7837.57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1816.54</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6021.03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221</w:t>
            </w:r>
          </w:p>
        </w:tc>
        <w:tc>
          <w:tcPr>
            <w:tcW w:w="3527" w:type="dxa"/>
            <w:tcBorders>
              <w:top w:val="nil"/>
              <w:left w:val="nil"/>
              <w:bottom w:val="single" w:color="auto" w:sz="4" w:space="0"/>
              <w:right w:val="single" w:color="auto" w:sz="4" w:space="0"/>
            </w:tcBorders>
            <w:shd w:val="clear" w:color="auto" w:fill="auto"/>
            <w:vAlign w:val="center"/>
          </w:tcPr>
          <w:p>
            <w:pPr>
              <w:rPr>
                <w:rFonts w:hint="default" w:ascii="宋体" w:hAnsi="宋体" w:cs="宋体" w:eastAsiaTheme="minorEastAsia"/>
                <w:kern w:val="2"/>
                <w:sz w:val="24"/>
                <w:szCs w:val="24"/>
                <w:lang w:val="en-US" w:eastAsia="zh-CN" w:bidi="ar-SA"/>
              </w:rPr>
            </w:pPr>
            <w:r>
              <w:rPr>
                <w:rFonts w:hint="eastAsia"/>
              </w:rPr>
              <w:t>　</w:t>
            </w:r>
            <w:r>
              <w:rPr>
                <w:rFonts w:hint="eastAsia"/>
                <w:lang w:val="en-US" w:eastAsia="zh-CN"/>
              </w:rPr>
              <w:t>住房保障支出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180.75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180.75</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224</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2"/>
                <w:sz w:val="24"/>
                <w:szCs w:val="24"/>
                <w:lang w:val="en-US" w:eastAsia="zh-CN" w:bidi="ar-SA"/>
              </w:rPr>
            </w:pPr>
            <w:r>
              <w:rPr>
                <w:rFonts w:hint="eastAsia"/>
              </w:rPr>
              <w:t>　灾害防治及应急管理支出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2.95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2.95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229</w:t>
            </w:r>
          </w:p>
        </w:tc>
        <w:tc>
          <w:tcPr>
            <w:tcW w:w="3527" w:type="dxa"/>
            <w:tcBorders>
              <w:top w:val="nil"/>
              <w:left w:val="nil"/>
              <w:bottom w:val="single" w:color="auto" w:sz="8" w:space="0"/>
              <w:right w:val="single" w:color="auto" w:sz="4" w:space="0"/>
            </w:tcBorders>
            <w:shd w:val="clear" w:color="auto" w:fill="auto"/>
            <w:vAlign w:val="center"/>
          </w:tcPr>
          <w:p>
            <w:pPr>
              <w:rPr>
                <w:rFonts w:hint="default" w:ascii="宋体" w:hAnsi="宋体" w:cs="宋体" w:eastAsiaTheme="minorEastAsia"/>
                <w:kern w:val="2"/>
                <w:sz w:val="24"/>
                <w:szCs w:val="24"/>
                <w:lang w:val="en-US" w:eastAsia="zh-CN" w:bidi="ar-SA"/>
              </w:rPr>
            </w:pPr>
            <w:r>
              <w:rPr>
                <w:rFonts w:hint="eastAsia"/>
              </w:rPr>
              <w:t>　</w:t>
            </w:r>
            <w:r>
              <w:rPr>
                <w:rFonts w:hint="eastAsia"/>
                <w:lang w:val="en-US" w:eastAsia="zh-CN"/>
              </w:rPr>
              <w:t>其他支出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184.96</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1.04</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183.92</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8"/>
        <w:tblW w:w="0" w:type="auto"/>
        <w:tblInd w:w="0" w:type="dxa"/>
        <w:tblLayout w:type="fixed"/>
        <w:tblCellMar>
          <w:top w:w="0" w:type="dxa"/>
          <w:left w:w="108" w:type="dxa"/>
          <w:bottom w:w="0" w:type="dxa"/>
          <w:right w:w="108" w:type="dxa"/>
        </w:tblCellMar>
      </w:tblPr>
      <w:tblGrid>
        <w:gridCol w:w="965"/>
        <w:gridCol w:w="239"/>
        <w:gridCol w:w="91"/>
        <w:gridCol w:w="1253"/>
        <w:gridCol w:w="1968"/>
        <w:gridCol w:w="98"/>
        <w:gridCol w:w="955"/>
        <w:gridCol w:w="1173"/>
        <w:gridCol w:w="296"/>
        <w:gridCol w:w="1917"/>
        <w:gridCol w:w="147"/>
        <w:gridCol w:w="696"/>
        <w:gridCol w:w="1174"/>
        <w:gridCol w:w="343"/>
        <w:gridCol w:w="2026"/>
        <w:gridCol w:w="1368"/>
        <w:gridCol w:w="659"/>
        <w:gridCol w:w="246"/>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2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2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5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73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1,405.30</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526.83</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571.33</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33.09</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27.53</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41.57</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207.72</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25.39</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49.07</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170.29</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24.25</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13.49</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88.60</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13.78</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29.30</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53.65</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190.32</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13.44</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45.76</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110.60</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2.15</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1.82</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3.29</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14.78</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31.39</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41.36</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40.87</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17.22</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59.69</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1.19</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36.53</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9.19</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9.13</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05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27.48</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0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9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2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84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148.09</w:t>
            </w:r>
          </w:p>
        </w:tc>
        <w:tc>
          <w:tcPr>
            <w:tcW w:w="11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73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0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51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0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1515.9</w:t>
            </w:r>
          </w:p>
        </w:tc>
        <w:tc>
          <w:tcPr>
            <w:tcW w:w="9140"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90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526.83</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6" w:type="dxa"/>
          <w:trHeight w:val="690" w:hRule="atLeast"/>
        </w:trPr>
        <w:tc>
          <w:tcPr>
            <w:tcW w:w="15368"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6" w:type="dxa"/>
          <w:trHeight w:val="345" w:hRule="atLeast"/>
        </w:trPr>
        <w:tc>
          <w:tcPr>
            <w:tcW w:w="965"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39"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344"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066"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424"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64"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213"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26"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27"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6" w:type="dxa"/>
          <w:trHeight w:val="690" w:hRule="atLeast"/>
        </w:trPr>
        <w:tc>
          <w:tcPr>
            <w:tcW w:w="965"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239"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344"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066"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424"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64"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213"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26"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27"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6" w:type="dxa"/>
          <w:trHeight w:val="459" w:hRule="atLeast"/>
        </w:trPr>
        <w:tc>
          <w:tcPr>
            <w:tcW w:w="25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6"/>
                <w:lang w:val="en-US" w:eastAsia="zh-CN" w:bidi="ar"/>
              </w:rPr>
              <w:t xml:space="preserve">   </w:t>
            </w:r>
            <w:r>
              <w:rPr>
                <w:rStyle w:val="17"/>
                <w:lang w:val="en-US" w:eastAsia="zh-CN" w:bidi="ar"/>
              </w:rPr>
              <w:t>目</w:t>
            </w:r>
          </w:p>
        </w:tc>
        <w:tc>
          <w:tcPr>
            <w:tcW w:w="20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42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3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6" w:type="dxa"/>
          <w:trHeight w:val="609" w:hRule="atLeast"/>
        </w:trPr>
        <w:tc>
          <w:tcPr>
            <w:tcW w:w="12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3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0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21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2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6" w:type="dxa"/>
          <w:trHeight w:val="409" w:hRule="atLeast"/>
        </w:trPr>
        <w:tc>
          <w:tcPr>
            <w:tcW w:w="12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1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6" w:type="dxa"/>
          <w:trHeight w:val="509" w:hRule="atLeast"/>
        </w:trPr>
        <w:tc>
          <w:tcPr>
            <w:tcW w:w="12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1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6" w:type="dxa"/>
          <w:trHeight w:val="509" w:hRule="atLeast"/>
        </w:trPr>
        <w:tc>
          <w:tcPr>
            <w:tcW w:w="25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6" w:type="dxa"/>
          <w:trHeight w:val="509" w:hRule="atLeast"/>
        </w:trPr>
        <w:tc>
          <w:tcPr>
            <w:tcW w:w="25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115.5</w:t>
            </w: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115.5</w:t>
            </w:r>
          </w:p>
        </w:tc>
        <w:tc>
          <w:tcPr>
            <w:tcW w:w="2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115.5</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6" w:type="dxa"/>
          <w:trHeight w:val="509" w:hRule="atLeast"/>
        </w:trPr>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213</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90.13</w:t>
            </w: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90.13</w:t>
            </w:r>
          </w:p>
        </w:tc>
        <w:tc>
          <w:tcPr>
            <w:tcW w:w="2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90.13</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6" w:type="dxa"/>
          <w:trHeight w:val="509" w:hRule="atLeast"/>
        </w:trPr>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229</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其他支出</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25.37</w:t>
            </w: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25.37</w:t>
            </w:r>
          </w:p>
        </w:tc>
        <w:tc>
          <w:tcPr>
            <w:tcW w:w="2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25.37</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6" w:type="dxa"/>
          <w:trHeight w:val="509" w:hRule="atLeast"/>
        </w:trPr>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6" w:type="dxa"/>
          <w:trHeight w:val="509" w:hRule="atLeast"/>
        </w:trPr>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6" w:type="dxa"/>
          <w:trHeight w:val="725" w:hRule="atLeast"/>
        </w:trPr>
        <w:tc>
          <w:tcPr>
            <w:tcW w:w="15368"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8"/>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26"/>
        <w:gridCol w:w="701"/>
        <w:gridCol w:w="2292"/>
        <w:gridCol w:w="3315"/>
        <w:gridCol w:w="3315"/>
        <w:gridCol w:w="4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8"/>
                <w:lang w:val="en-US" w:eastAsia="zh-CN" w:bidi="ar"/>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说明：我单位没有使用国有资本经营预算安排的支出，故本表无数据。（当表格数据为空时，应有此说明）</w:t>
            </w:r>
          </w:p>
        </w:tc>
      </w:tr>
    </w:tbl>
    <w:p>
      <w:pPr>
        <w:widowControl/>
        <w:jc w:val="center"/>
        <w:rPr>
          <w:rFonts w:hint="eastAsia" w:ascii="Times New Roman" w:hAnsi="Times New Roman" w:eastAsia="方正小标宋_GBK" w:cs="Times New Roman"/>
          <w:color w:val="000000"/>
          <w:kern w:val="0"/>
          <w:sz w:val="36"/>
          <w:szCs w:val="36"/>
        </w:rPr>
      </w:pPr>
    </w:p>
    <w:tbl>
      <w:tblPr>
        <w:tblStyle w:val="8"/>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0"/>
        <w:gridCol w:w="1261"/>
        <w:gridCol w:w="1261"/>
        <w:gridCol w:w="1261"/>
        <w:gridCol w:w="1261"/>
        <w:gridCol w:w="1261"/>
        <w:gridCol w:w="1261"/>
        <w:gridCol w:w="1261"/>
        <w:gridCol w:w="1261"/>
        <w:gridCol w:w="1261"/>
        <w:gridCol w:w="1261"/>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3"/>
        <w:jc w:val="center"/>
        <w:rPr>
          <w:rFonts w:hint="eastAsia" w:ascii="方正小标宋_GBK" w:hAnsi="方正小标宋_GBK" w:eastAsia="方正小标宋_GBK" w:cs="方正小标宋_GBK"/>
          <w:sz w:val="70"/>
          <w:szCs w:val="70"/>
        </w:rPr>
      </w:pPr>
    </w:p>
    <w:p>
      <w:pPr>
        <w:pStyle w:val="13"/>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8354.59</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546.55</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6.14</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人员退休人员经费减少。</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9345.96</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8470.09</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90.63</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875.87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9.37</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10312.53</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2059.32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19.97</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8253.21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80.03</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17030.21</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2557.38</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15.02</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基础绩效奖金纳入预算，人员经费增加，项目支出按时支付。</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8444.63</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98.65</w:t>
      </w:r>
      <w:r>
        <w:rPr>
          <w:rFonts w:hint="eastAsia" w:ascii="Times New Roman" w:hAnsi="Times New Roman" w:eastAsia="仿宋_GB2312"/>
          <w:sz w:val="32"/>
          <w:szCs w:val="32"/>
        </w:rPr>
        <w:t>%，与上年相比，财政拨款支出减少</w:t>
      </w:r>
      <w:r>
        <w:rPr>
          <w:rFonts w:hint="eastAsia" w:ascii="Times New Roman" w:hAnsi="Times New Roman" w:eastAsia="仿宋_GB2312"/>
          <w:sz w:val="32"/>
          <w:szCs w:val="32"/>
          <w:lang w:val="en-US" w:eastAsia="zh-CN"/>
        </w:rPr>
        <w:t>109.71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1.28</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退休人员增多，支出减少</w:t>
      </w:r>
    </w:p>
    <w:p>
      <w:pPr>
        <w:pStyle w:val="13"/>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8444.63</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194.1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2.3</w:t>
      </w:r>
      <w:r>
        <w:rPr>
          <w:rFonts w:hint="eastAsia" w:ascii="Times New Roman" w:hAnsi="Times New Roman" w:eastAsia="仿宋_GB2312"/>
          <w:sz w:val="32"/>
          <w:szCs w:val="32"/>
        </w:rPr>
        <w:t>%；社会保障和就业支出</w:t>
      </w:r>
      <w:r>
        <w:rPr>
          <w:rFonts w:hint="eastAsia" w:ascii="Times New Roman" w:hAnsi="Times New Roman" w:eastAsia="仿宋_GB2312"/>
          <w:sz w:val="32"/>
          <w:szCs w:val="32"/>
          <w:lang w:val="en-US" w:eastAsia="zh-CN"/>
        </w:rPr>
        <w:t>44.29</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0.52</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农林水</w:t>
      </w:r>
      <w:r>
        <w:rPr>
          <w:rFonts w:hint="eastAsia" w:ascii="Times New Roman" w:hAnsi="Times New Roman" w:eastAsia="仿宋_GB2312"/>
          <w:sz w:val="32"/>
          <w:szCs w:val="32"/>
        </w:rPr>
        <w:t>支出</w:t>
      </w:r>
      <w:r>
        <w:rPr>
          <w:rFonts w:hint="eastAsia" w:ascii="Times New Roman" w:hAnsi="Times New Roman" w:eastAsia="仿宋_GB2312"/>
          <w:sz w:val="32"/>
          <w:szCs w:val="32"/>
          <w:lang w:val="en-US" w:eastAsia="zh-CN"/>
        </w:rPr>
        <w:t>7837.57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92.81</w:t>
      </w:r>
      <w:r>
        <w:rPr>
          <w:rFonts w:hint="eastAsia" w:ascii="Times New Roman" w:hAnsi="Times New Roman" w:eastAsia="仿宋_GB2312"/>
          <w:sz w:val="32"/>
          <w:szCs w:val="32"/>
        </w:rPr>
        <w:t>%;住房保障支出</w:t>
      </w:r>
      <w:r>
        <w:rPr>
          <w:rFonts w:hint="eastAsia" w:ascii="Times New Roman" w:hAnsi="Times New Roman" w:eastAsia="仿宋_GB2312"/>
          <w:sz w:val="32"/>
          <w:szCs w:val="32"/>
          <w:lang w:val="en-US" w:eastAsia="zh-CN"/>
        </w:rPr>
        <w:t>180.75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2.14</w:t>
      </w:r>
      <w:r>
        <w:rPr>
          <w:rFonts w:hint="eastAsia" w:ascii="Times New Roman" w:hAnsi="Times New Roman" w:eastAsia="仿宋_GB2312"/>
          <w:sz w:val="32"/>
          <w:szCs w:val="32"/>
        </w:rPr>
        <w:t>%;灾害防治及应急管理支出</w:t>
      </w:r>
      <w:r>
        <w:rPr>
          <w:rFonts w:hint="eastAsia" w:ascii="Times New Roman" w:hAnsi="Times New Roman" w:eastAsia="仿宋_GB2312"/>
          <w:sz w:val="32"/>
          <w:szCs w:val="32"/>
          <w:lang w:val="en-US" w:eastAsia="zh-CN"/>
        </w:rPr>
        <w:t>2.95万元，</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0.03</w:t>
      </w:r>
      <w:r>
        <w:rPr>
          <w:rFonts w:hint="eastAsia" w:ascii="Times New Roman" w:hAnsi="Times New Roman" w:eastAsia="仿宋_GB2312"/>
          <w:sz w:val="32"/>
          <w:szCs w:val="32"/>
        </w:rPr>
        <w:t>%;其他支出</w:t>
      </w:r>
      <w:r>
        <w:rPr>
          <w:rFonts w:hint="eastAsia" w:ascii="Times New Roman" w:hAnsi="Times New Roman" w:eastAsia="仿宋_GB2312"/>
          <w:sz w:val="32"/>
          <w:szCs w:val="32"/>
          <w:lang w:val="en-US" w:eastAsia="zh-CN"/>
        </w:rPr>
        <w:t>184.96万元，</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2.19</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7966.91</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8444.63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2042.73</w:t>
      </w:r>
      <w:r>
        <w:rPr>
          <w:rFonts w:hint="eastAsia" w:ascii="Times New Roman" w:hAnsi="Times New Roman" w:eastAsia="仿宋_GB2312"/>
          <w:sz w:val="32"/>
          <w:szCs w:val="32"/>
        </w:rPr>
        <w:t>万元，其中：</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1405.3</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68.8</w:t>
      </w:r>
      <w:r>
        <w:rPr>
          <w:rFonts w:hint="eastAsia" w:ascii="Times New Roman" w:hAnsi="Times New Roman" w:eastAsia="仿宋_GB2312"/>
          <w:sz w:val="32"/>
          <w:szCs w:val="32"/>
        </w:rPr>
        <w:t>%,主要包括基本工资、津贴补贴、奖金、伙食补助费</w:t>
      </w:r>
      <w:r>
        <w:rPr>
          <w:rFonts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526.83</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25.79</w:t>
      </w:r>
      <w:r>
        <w:rPr>
          <w:rFonts w:hint="eastAsia" w:ascii="Times New Roman" w:hAnsi="Times New Roman" w:eastAsia="仿宋_GB2312"/>
          <w:sz w:val="32"/>
          <w:szCs w:val="32"/>
        </w:rPr>
        <w:t>%，主要包括办公费、印刷费、咨询费、手续费</w:t>
      </w:r>
      <w:r>
        <w:rPr>
          <w:rFonts w:ascii="Times New Roman" w:hAnsi="Times New Roman" w:eastAsia="仿宋_GB2312"/>
          <w:sz w:val="32"/>
          <w:szCs w:val="32"/>
        </w:rPr>
        <w:t>……</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r>
        <w:rPr>
          <w:rFonts w:hint="eastAsia" w:ascii="楷体" w:hAnsi="楷体" w:eastAsia="楷体" w:cs="楷体"/>
          <w:b/>
          <w:bCs/>
          <w:i/>
          <w:color w:val="auto"/>
          <w:sz w:val="32"/>
          <w:szCs w:val="32"/>
          <w:lang w:eastAsia="zh-CN"/>
        </w:rPr>
        <w:t>（注意：三公经费情况说明，往年为一般公共预算财政拨款口径，今年为财政拨款口径）</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3.29</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65.8</w:t>
      </w:r>
      <w:r>
        <w:rPr>
          <w:rFonts w:hint="eastAsia" w:ascii="Times New Roman" w:hAnsi="Times New Roman" w:eastAsia="仿宋_GB2312"/>
          <w:sz w:val="32"/>
          <w:szCs w:val="32"/>
        </w:rPr>
        <w:t>%，其中：</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与上年相比减少（增加）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万元，减少（增长）</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3.29</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65.8</w:t>
      </w:r>
      <w:r>
        <w:rPr>
          <w:rFonts w:hint="eastAsia" w:ascii="Times New Roman" w:hAnsi="Times New Roman" w:eastAsia="仿宋_GB2312"/>
          <w:sz w:val="32"/>
          <w:szCs w:val="32"/>
        </w:rPr>
        <w:t>%，决算数小于预算数的主要原因是</w:t>
      </w:r>
      <w:r>
        <w:rPr>
          <w:rFonts w:hint="eastAsia" w:ascii="Times New Roman" w:hAnsi="Times New Roman" w:eastAsia="仿宋_GB2312"/>
          <w:sz w:val="32"/>
          <w:szCs w:val="32"/>
          <w:lang w:val="en-US" w:eastAsia="zh-CN"/>
        </w:rPr>
        <w:t>节约开支</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4.5</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57.77</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val="en-US" w:eastAsia="zh-CN"/>
        </w:rPr>
        <w:t>节约开支</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%，与上年相比减少（增加）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万元，减少（增长）</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%，与上年相比减少（增加）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万元，减少（增长）</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3.29</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val="en-US"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3.29</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170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823</w:t>
      </w:r>
      <w:r>
        <w:rPr>
          <w:rFonts w:hint="eastAsia" w:ascii="Times New Roman" w:hAnsi="Times New Roman" w:eastAsia="仿宋_GB2312"/>
          <w:sz w:val="32"/>
          <w:szCs w:val="32"/>
        </w:rPr>
        <w:t>人次，主要是</w:t>
      </w:r>
      <w:r>
        <w:rPr>
          <w:rFonts w:hint="eastAsia" w:ascii="Times New Roman" w:hAnsi="Times New Roman" w:eastAsia="仿宋_GB2312"/>
          <w:sz w:val="32"/>
          <w:szCs w:val="32"/>
          <w:lang w:val="en-US" w:eastAsia="zh-CN"/>
        </w:rPr>
        <w:t>接待</w:t>
      </w:r>
      <w:r>
        <w:rPr>
          <w:rFonts w:hint="eastAsia" w:ascii="Times New Roman" w:hAnsi="Times New Roman" w:eastAsia="仿宋_GB2312"/>
          <w:sz w:val="32"/>
          <w:szCs w:val="32"/>
        </w:rPr>
        <w:t>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3"/>
        <w:keepNext w:val="0"/>
        <w:keepLines w:val="0"/>
        <w:pageBreakBefore w:val="0"/>
        <w:widowControl w:val="0"/>
        <w:kinsoku/>
        <w:wordWrap/>
        <w:overflowPunct/>
        <w:topLinePunct w:val="0"/>
        <w:bidi w:val="0"/>
        <w:snapToGrid/>
        <w:spacing w:line="600" w:lineRule="exact"/>
        <w:textAlignment w:val="auto"/>
        <w:rPr>
          <w:rFonts w:hint="default"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115.5</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115.5</w:t>
      </w:r>
      <w:r>
        <w:rPr>
          <w:rFonts w:hint="eastAsia" w:ascii="Times New Roman" w:hAnsi="Times New Roman" w:eastAsia="仿宋_GB2312"/>
          <w:sz w:val="32"/>
          <w:szCs w:val="32"/>
        </w:rPr>
        <w:t>万元，其中基本支</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115.5</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r>
        <w:rPr>
          <w:rFonts w:hint="eastAsia" w:ascii="Times New Roman" w:hAnsi="Times New Roman" w:eastAsia="仿宋_GB2312"/>
          <w:sz w:val="32"/>
          <w:szCs w:val="32"/>
          <w:lang w:val="en-US" w:eastAsia="zh-CN"/>
        </w:rPr>
        <w:t>三峡后续支出90.13万元，其他政府性基金安排的支出25.37万元。</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1、农林水支出（类）国家重大水利工程建设基金安排的支出（款）三峡后续工作（项）。</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90.13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项目经费来源于政府性基金</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、其他支出（类）其他政府性基金及对应专项债务收入安排的支出（款）其他政府性基金安排的支出（项）。</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25.37</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项目经费来源于政府性基金</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101</w:t>
      </w:r>
      <w:r>
        <w:rPr>
          <w:rFonts w:hint="eastAsia" w:ascii="Times New Roman" w:hAnsi="Times New Roman" w:eastAsia="仿宋_GB2312"/>
          <w:sz w:val="32"/>
          <w:szCs w:val="32"/>
        </w:rPr>
        <w:t>万元</w:t>
      </w:r>
      <w:r>
        <w:rPr>
          <w:rFonts w:hint="eastAsia" w:ascii="楷体" w:hAnsi="楷体" w:eastAsia="楷体" w:cs="楷体"/>
          <w:b/>
          <w:bCs/>
          <w:i/>
          <w:color w:val="auto"/>
          <w:kern w:val="0"/>
          <w:sz w:val="32"/>
          <w:szCs w:val="32"/>
          <w:lang w:val="en-US" w:eastAsia="zh-CN" w:bidi="ar-SA"/>
        </w:rPr>
        <w:t>（与部门决算中行政单位和参照公务员法管理事业单位一般公共预算财政拨款基本支出中公用经费之和一致）</w:t>
      </w:r>
      <w:r>
        <w:rPr>
          <w:rFonts w:hint="eastAsia" w:ascii="Times New Roman" w:hAnsi="Times New Roman" w:eastAsia="仿宋_GB2312"/>
          <w:sz w:val="32"/>
          <w:szCs w:val="32"/>
        </w:rPr>
        <w:t>，比年初预算数（或者上年决算数）增加（减少）</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 xml:space="preserve"> 万元，增长（降低）</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val="en-US" w:eastAsia="zh-CN"/>
        </w:rPr>
        <w:t>与预算数一致</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2.15</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val="en-US" w:eastAsia="zh-CN"/>
        </w:rPr>
        <w:t>局内</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val="en-US" w:eastAsia="zh-CN"/>
        </w:rPr>
        <w:t>全年会议</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1.82</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val="en-US" w:eastAsia="zh-CN"/>
        </w:rPr>
        <w:t>事业人员继续教育</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60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val="en-US" w:eastAsia="zh-CN"/>
        </w:rPr>
        <w:t>事业人员继续教育</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没有举办</w:t>
      </w:r>
      <w:r>
        <w:rPr>
          <w:rFonts w:hint="eastAsia" w:ascii="Times New Roman" w:hAnsi="Times New Roman" w:eastAsia="仿宋_GB2312"/>
          <w:sz w:val="32"/>
          <w:szCs w:val="32"/>
        </w:rPr>
        <w:t>节庆、晚会、论坛、赛事活动，开支</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楷体" w:hAnsi="楷体" w:eastAsia="楷体" w:cs="楷体"/>
          <w:b/>
          <w:bCs/>
          <w:i/>
          <w:color w:val="auto"/>
          <w:kern w:val="0"/>
          <w:sz w:val="32"/>
          <w:szCs w:val="32"/>
          <w:lang w:val="en-US" w:eastAsia="zh-CN" w:bidi="ar-SA"/>
        </w:rPr>
        <w:t>（注：三类会议、培训活动，节庆、晚会、论坛、赛事等活动，请分项列明活动计划及经费预算情况）</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50</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50</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40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80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楷体" w:hAnsi="楷体" w:eastAsia="楷体" w:cs="楷体"/>
          <w:b/>
          <w:bCs/>
          <w:i/>
          <w:color w:val="auto"/>
          <w:kern w:val="0"/>
          <w:sz w:val="32"/>
          <w:szCs w:val="32"/>
          <w:lang w:val="en-US" w:eastAsia="zh-CN" w:bidi="ar-SA"/>
        </w:rPr>
        <w:t>（政府采购金额的计算口径为：本部门纳入2022年度部门预算范围的各项政府采购支出金额之和，不包括涉密采购项目的支出金额）</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bookmarkStart w:id="3" w:name="_GoBack"/>
      <w:bookmarkEnd w:id="3"/>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7"/>
        <w:shd w:val="clear" w:color="auto" w:fill="FFFFFF"/>
        <w:spacing w:before="0" w:beforeAutospacing="0" w:after="0" w:afterAutospacing="0" w:line="420" w:lineRule="atLeast"/>
        <w:ind w:firstLine="645"/>
        <w:rPr>
          <w:rStyle w:val="10"/>
          <w:rFonts w:hint="eastAsia" w:ascii="仿宋_GB2312" w:hAnsi="Helvetica" w:eastAsia="仿宋_GB2312" w:cs="Helvetica"/>
          <w:b w:val="0"/>
          <w:bCs w:val="0"/>
          <w:color w:val="0000FF"/>
          <w:sz w:val="32"/>
          <w:szCs w:val="32"/>
          <w:lang w:val="en-US" w:eastAsia="zh-CN"/>
        </w:rPr>
      </w:pP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202</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2</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年整体收入（含二级预算单位）</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7907.37</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万元，其中：财政拨款收入</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7907.37</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万元（局机关</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2648.09</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万元，水管站</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3541.82</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万元，水利工程管理单位</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1717.46</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万元</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w:t>
      </w:r>
    </w:p>
    <w:p>
      <w:pPr>
        <w:pStyle w:val="7"/>
        <w:shd w:val="clear" w:color="auto" w:fill="FFFFFF"/>
        <w:spacing w:before="0" w:beforeAutospacing="0" w:after="0" w:afterAutospacing="0" w:line="420" w:lineRule="atLeast"/>
        <w:ind w:firstLine="645"/>
        <w:rPr>
          <w:rStyle w:val="10"/>
          <w:rFonts w:hint="default" w:ascii="仿宋_GB2312" w:hAnsi="Helvetica" w:eastAsia="仿宋_GB2312" w:cs="Helvetica"/>
          <w:b w:val="0"/>
          <w:bCs w:val="0"/>
          <w:color w:val="000000" w:themeColor="text1"/>
          <w:sz w:val="32"/>
          <w:szCs w:val="32"/>
          <w:lang w:val="en-US" w:eastAsia="zh-CN"/>
          <w14:textFill>
            <w14:solidFill>
              <w14:schemeClr w14:val="tx1"/>
            </w14:solidFill>
          </w14:textFill>
        </w:rPr>
      </w:pP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202</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2</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年整体支出规模（含二级预算单位）为</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7907.37</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万元</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市水利局机关</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2648.09</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万元，水管站</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3541.82万元</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及局直工程管理单位支出</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1717.46</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 xml:space="preserve"> 万元</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，主要</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包括</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如下方面</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内容</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：一是</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基本支出</w:t>
      </w:r>
      <w:r>
        <w:rPr>
          <w:rFonts w:hint="eastAsia" w:ascii="仿宋" w:hAnsi="仿宋" w:eastAsia="仿宋" w:cs="仿宋"/>
          <w:color w:val="000000" w:themeColor="text1"/>
          <w:sz w:val="32"/>
          <w:lang w:val="en-US" w:eastAsia="zh-CN"/>
          <w14:textFill>
            <w14:solidFill>
              <w14:schemeClr w14:val="tx1"/>
            </w14:solidFill>
          </w14:textFill>
        </w:rPr>
        <w:t>6439.61</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万元,。二是项目支出</w:t>
      </w:r>
      <w:r>
        <w:rPr>
          <w:rFonts w:hint="eastAsia" w:ascii="仿宋" w:hAnsi="仿宋" w:eastAsia="仿宋" w:cs="仿宋"/>
          <w:color w:val="000000" w:themeColor="text1"/>
          <w:sz w:val="32"/>
          <w:lang w:val="en-US" w:eastAsia="zh-CN"/>
          <w14:textFill>
            <w14:solidFill>
              <w14:schemeClr w14:val="tx1"/>
            </w14:solidFill>
          </w14:textFill>
        </w:rPr>
        <w:t>1467.76</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万元。</w:t>
      </w:r>
    </w:p>
    <w:p>
      <w:pPr>
        <w:pStyle w:val="7"/>
        <w:shd w:val="clear" w:color="auto" w:fill="FFFFFF"/>
        <w:spacing w:before="0" w:beforeAutospacing="0" w:after="0" w:afterAutospacing="0" w:line="420" w:lineRule="atLeast"/>
        <w:ind w:firstLine="645"/>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pP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（一）基本支出的管理和使用情况</w:t>
      </w:r>
    </w:p>
    <w:p>
      <w:pPr>
        <w:pStyle w:val="7"/>
        <w:shd w:val="clear" w:color="auto" w:fill="FFFFFF"/>
        <w:spacing w:before="0" w:beforeAutospacing="0" w:after="0" w:afterAutospacing="0" w:line="420" w:lineRule="atLeast"/>
        <w:ind w:firstLine="645"/>
        <w:rPr>
          <w:rStyle w:val="10"/>
          <w:rFonts w:hint="eastAsia" w:ascii="仿宋_GB2312" w:hAnsi="Helvetica" w:eastAsia="仿宋_GB2312" w:cs="Helvetica"/>
          <w:b w:val="0"/>
          <w:bCs w:val="0"/>
          <w:color w:val="000000" w:themeColor="text1"/>
          <w:sz w:val="32"/>
          <w:szCs w:val="32"/>
          <w14:textFill>
            <w14:solidFill>
              <w14:schemeClr w14:val="tx1"/>
            </w14:solidFill>
          </w14:textFill>
        </w:rPr>
      </w:pP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2022年</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水利系统基本支出</w:t>
      </w:r>
      <w:r>
        <w:rPr>
          <w:rFonts w:hint="eastAsia" w:ascii="仿宋" w:hAnsi="仿宋" w:eastAsia="仿宋" w:cs="仿宋"/>
          <w:color w:val="000000" w:themeColor="text1"/>
          <w:sz w:val="32"/>
          <w:lang w:val="en-US" w:eastAsia="zh-CN"/>
          <w14:textFill>
            <w14:solidFill>
              <w14:schemeClr w14:val="tx1"/>
            </w14:solidFill>
          </w14:textFill>
        </w:rPr>
        <w:t>6439.61</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万元,其中工资福利支出4965.81万元(包括工资津补贴3111.9万元、社会保障缴费1496.67万元、住房公积金357.24万元);商品和服务支出</w:t>
      </w:r>
      <w:r>
        <w:rPr>
          <w:rFonts w:hint="eastAsia" w:ascii="仿宋" w:hAnsi="仿宋" w:eastAsia="仿宋" w:cs="仿宋"/>
          <w:color w:val="000000" w:themeColor="text1"/>
          <w:sz w:val="32"/>
          <w:lang w:val="en-US" w:eastAsia="zh-CN"/>
          <w14:textFill>
            <w14:solidFill>
              <w14:schemeClr w14:val="tx1"/>
            </w14:solidFill>
          </w14:textFill>
        </w:rPr>
        <w:t>425</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万元;对个人和家庭的补助支出1048.8万元。</w:t>
      </w:r>
    </w:p>
    <w:p>
      <w:pPr>
        <w:pStyle w:val="7"/>
        <w:shd w:val="clear" w:color="auto" w:fill="FFFFFF"/>
        <w:spacing w:before="0" w:beforeAutospacing="0" w:after="0" w:afterAutospacing="0" w:line="420" w:lineRule="atLeast"/>
        <w:ind w:firstLine="645"/>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pPr>
      <w:r>
        <w:rPr>
          <w:rStyle w:val="10"/>
          <w:rFonts w:hint="eastAsia" w:ascii="仿宋_GB2312" w:hAnsi="Helvetica" w:eastAsia="仿宋_GB2312" w:cs="Helvetica"/>
          <w:b w:val="0"/>
          <w:bCs w:val="0"/>
          <w:color w:val="000000" w:themeColor="text1"/>
          <w:sz w:val="32"/>
          <w:szCs w:val="32"/>
          <w14:textFill>
            <w14:solidFill>
              <w14:schemeClr w14:val="tx1"/>
            </w14:solidFill>
          </w14:textFill>
        </w:rPr>
        <w:t>其中基本工资</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1920.8</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万元、津贴</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192.65</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万元、绩效工资</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987.85</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万元、</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奖金</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10.6万元、</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机关事业单位基本养老保险缴费</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1020.97</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万元、</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职工基本医疗保险缴费</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382.87万元、其他社会保障缴费92.83万元、</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公积金</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357.24</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万元</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商品和服务支出425万元(包括办公费105万元、电费23万元、维修费20万元、差旅43万元、公务接待费24.5万元、工会经费40.7万元、物业管理费7.9万元、会议费21.4万元、福利费15万元、其他商品服务支出120.5万元、印刷费4万元;对个人和家庭的补助支出1048.8万元。</w:t>
      </w:r>
    </w:p>
    <w:p>
      <w:pPr>
        <w:pStyle w:val="7"/>
        <w:shd w:val="clear" w:color="auto" w:fill="FFFFFF"/>
        <w:spacing w:before="0" w:beforeAutospacing="0" w:after="0" w:afterAutospacing="0" w:line="420" w:lineRule="atLeast"/>
        <w:ind w:firstLine="645"/>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pPr>
      <w:r>
        <w:rPr>
          <w:rStyle w:val="10"/>
          <w:rFonts w:hint="eastAsia" w:ascii="仿宋" w:hAnsi="仿宋" w:eastAsia="仿宋" w:cs="Helvetica"/>
          <w:b w:val="0"/>
          <w:bCs w:val="0"/>
          <w:color w:val="000000" w:themeColor="text1"/>
          <w:sz w:val="32"/>
          <w:szCs w:val="32"/>
          <w:lang w:val="en-US" w:eastAsia="zh-CN"/>
          <w14:textFill>
            <w14:solidFill>
              <w14:schemeClr w14:val="tx1"/>
            </w14:solidFill>
          </w14:textFill>
        </w:rPr>
        <w:t>2022年“三公经费”预算24.5万元，实际执行11.27万元，其中因公出国（境）0元，公务用车购置及运行维护费0元，公务接待费11.27万元。2021年“三公经费”共计19.87万元，其中因公出国（境）0元，公务用车购置及运行维护费0元，公务接待费19.87万元。较上年减少8.6万元。</w:t>
      </w:r>
    </w:p>
    <w:p>
      <w:pPr>
        <w:pStyle w:val="7"/>
        <w:shd w:val="clear" w:color="auto" w:fill="FFFFFF"/>
        <w:spacing w:before="0" w:beforeAutospacing="0" w:after="0" w:afterAutospacing="0" w:line="420" w:lineRule="atLeast"/>
        <w:ind w:firstLine="645"/>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pP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（二）专项支出的管理和使用情况</w:t>
      </w:r>
    </w:p>
    <w:p>
      <w:pPr>
        <w:pStyle w:val="7"/>
        <w:shd w:val="clear" w:color="auto" w:fill="FFFFFF"/>
        <w:spacing w:before="0" w:beforeAutospacing="0" w:after="0" w:afterAutospacing="0" w:line="420" w:lineRule="atLeast"/>
        <w:ind w:firstLine="645"/>
        <w:rPr>
          <w:rStyle w:val="10"/>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2022年水利系统</w:t>
      </w:r>
      <w:r>
        <w:rPr>
          <w:rStyle w:val="10"/>
          <w:rFonts w:hint="eastAsia" w:ascii="仿宋_GB2312" w:hAnsi="仿宋_GB2312" w:eastAsia="仿宋_GB2312" w:cs="仿宋_GB2312"/>
          <w:b w:val="0"/>
          <w:bCs w:val="0"/>
          <w:color w:val="000000" w:themeColor="text1"/>
          <w:sz w:val="32"/>
          <w:szCs w:val="32"/>
          <w14:textFill>
            <w14:solidFill>
              <w14:schemeClr w14:val="tx1"/>
            </w14:solidFill>
          </w14:textFill>
        </w:rPr>
        <w:t>项目支出</w:t>
      </w: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1467.76</w:t>
      </w:r>
      <w:r>
        <w:rPr>
          <w:rStyle w:val="10"/>
          <w:rFonts w:hint="eastAsia" w:ascii="仿宋_GB2312" w:hAnsi="仿宋_GB2312" w:eastAsia="仿宋_GB2312" w:cs="仿宋_GB2312"/>
          <w:b w:val="0"/>
          <w:bCs w:val="0"/>
          <w:color w:val="000000" w:themeColor="text1"/>
          <w:sz w:val="32"/>
          <w:szCs w:val="32"/>
          <w14:textFill>
            <w14:solidFill>
              <w14:schemeClr w14:val="tx1"/>
            </w14:solidFill>
          </w14:textFill>
        </w:rPr>
        <w:t>万元</w:t>
      </w:r>
      <w:r>
        <w:rPr>
          <w:rStyle w:val="10"/>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（其中：黄家湖电排排渍电费</w:t>
      </w: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20万元、砂石执法工作经费366万元、立项争资专项12万元、防洪排涝工作经费138万元</w:t>
      </w:r>
      <w:r>
        <w:rPr>
          <w:rStyle w:val="10"/>
          <w:rFonts w:hint="eastAsia" w:ascii="仿宋_GB2312" w:hAnsi="仿宋_GB2312" w:eastAsia="仿宋_GB2312" w:cs="仿宋_GB2312"/>
          <w:b w:val="0"/>
          <w:bCs w:val="0"/>
          <w:color w:val="0000FF"/>
          <w:sz w:val="32"/>
          <w:szCs w:val="32"/>
          <w:lang w:val="en-US" w:eastAsia="zh-CN"/>
        </w:rPr>
        <w:t>、</w:t>
      </w: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汛前处险资金20万元</w:t>
      </w:r>
      <w:r>
        <w:rPr>
          <w:rStyle w:val="10"/>
          <w:rFonts w:hint="eastAsia" w:ascii="仿宋_GB2312" w:hAnsi="仿宋_GB2312" w:eastAsia="仿宋_GB2312" w:cs="仿宋_GB2312"/>
          <w:b w:val="0"/>
          <w:bCs w:val="0"/>
          <w:color w:val="0000FF"/>
          <w:sz w:val="32"/>
          <w:szCs w:val="32"/>
          <w:lang w:val="en-US" w:eastAsia="zh-CN"/>
        </w:rPr>
        <w:t>、</w:t>
      </w: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防汛砂石采购50万元、堤防维护费628万元、河长制工作经费32万元、五湖水位调控涵闸经费8万元、水土保持评审费5万元、历史遗留问题经费188.76万元，</w:t>
      </w:r>
      <w:r>
        <w:rPr>
          <w:rStyle w:val="10"/>
          <w:rFonts w:hint="eastAsia" w:ascii="仿宋_GB2312" w:hAnsi="仿宋_GB2312" w:eastAsia="仿宋_GB2312" w:cs="仿宋_GB2312"/>
          <w:b w:val="0"/>
          <w:bCs w:val="0"/>
          <w:color w:val="000000" w:themeColor="text1"/>
          <w:sz w:val="32"/>
          <w:szCs w:val="32"/>
          <w14:textFill>
            <w14:solidFill>
              <w14:schemeClr w14:val="tx1"/>
            </w14:solidFill>
          </w14:textFill>
        </w:rPr>
        <w:t>主要用于防汛处险、</w:t>
      </w:r>
      <w:r>
        <w:rPr>
          <w:rStyle w:val="10"/>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砂石执法、</w:t>
      </w: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堤防维护、</w:t>
      </w:r>
      <w:r>
        <w:rPr>
          <w:rStyle w:val="10"/>
          <w:rFonts w:hint="eastAsia" w:ascii="仿宋_GB2312" w:hAnsi="仿宋_GB2312" w:eastAsia="仿宋_GB2312" w:cs="仿宋_GB2312"/>
          <w:b w:val="0"/>
          <w:bCs w:val="0"/>
          <w:color w:val="000000" w:themeColor="text1"/>
          <w:sz w:val="32"/>
          <w:szCs w:val="32"/>
          <w14:textFill>
            <w14:solidFill>
              <w14:schemeClr w14:val="tx1"/>
            </w14:solidFill>
          </w14:textFill>
        </w:rPr>
        <w:t>单位项目申报、招商引资、</w:t>
      </w:r>
      <w:r>
        <w:rPr>
          <w:rStyle w:val="10"/>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河湖治理及其他专项</w:t>
      </w:r>
      <w:r>
        <w:rPr>
          <w:rStyle w:val="10"/>
          <w:rFonts w:hint="eastAsia" w:ascii="仿宋_GB2312" w:hAnsi="仿宋_GB2312" w:eastAsia="仿宋_GB2312" w:cs="仿宋_GB2312"/>
          <w:b w:val="0"/>
          <w:bCs w:val="0"/>
          <w:color w:val="000000" w:themeColor="text1"/>
          <w:sz w:val="32"/>
          <w:szCs w:val="32"/>
          <w14:textFill>
            <w14:solidFill>
              <w14:schemeClr w14:val="tx1"/>
            </w14:solidFill>
          </w14:textFill>
        </w:rPr>
        <w:t>工作。</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7"/>
        <w:shd w:val="clear" w:color="auto" w:fill="FFFFFF"/>
        <w:spacing w:before="0" w:beforeAutospacing="0" w:after="0" w:afterAutospacing="0" w:line="420" w:lineRule="atLeast"/>
        <w:ind w:firstLine="645"/>
        <w:rPr>
          <w:rFonts w:ascii="Helvetica" w:hAnsi="Helvetica" w:cs="Helvetica"/>
          <w:color w:val="000000" w:themeColor="text1"/>
          <w14:textFill>
            <w14:solidFill>
              <w14:schemeClr w14:val="tx1"/>
            </w14:solidFill>
          </w14:textFill>
        </w:rPr>
      </w:pPr>
      <w:r>
        <w:rPr>
          <w:rStyle w:val="10"/>
          <w:rFonts w:hint="eastAsia" w:ascii="仿宋_GB2312" w:hAnsi="Helvetica" w:eastAsia="仿宋_GB2312" w:cs="Helvetica"/>
          <w:b w:val="0"/>
          <w:bCs w:val="0"/>
          <w:color w:val="000000" w:themeColor="text1"/>
          <w:sz w:val="32"/>
          <w:szCs w:val="32"/>
          <w14:textFill>
            <w14:solidFill>
              <w14:schemeClr w14:val="tx1"/>
            </w14:solidFill>
          </w14:textFill>
        </w:rPr>
        <w:t>1、从</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202</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2</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年账务支出结构分析，基本支出的</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93.01</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％为人员支出，由于财政下拨的年初预算只按平均每人</w:t>
      </w: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1</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万元的标准安排单位人头经费，远远小于人员支出以及公用支出的刚性需求，必须使用财政的其他拨款弥补人员支出。</w:t>
      </w:r>
      <w:r>
        <w:rPr>
          <w:rStyle w:val="10"/>
          <w:rFonts w:hint="eastAsia" w:cs="Helvetica"/>
          <w:b w:val="0"/>
          <w:bCs w:val="0"/>
          <w:color w:val="000000" w:themeColor="text1"/>
          <w14:textFill>
            <w14:solidFill>
              <w14:schemeClr w14:val="tx1"/>
            </w14:solidFill>
          </w14:textFill>
        </w:rPr>
        <w:t> </w:t>
      </w:r>
    </w:p>
    <w:p>
      <w:pPr>
        <w:pStyle w:val="7"/>
        <w:shd w:val="clear" w:color="auto" w:fill="FFFFFF"/>
        <w:spacing w:before="0" w:beforeAutospacing="0" w:after="0" w:afterAutospacing="0" w:line="420" w:lineRule="atLeast"/>
        <w:ind w:firstLine="645"/>
        <w:rPr>
          <w:rStyle w:val="10"/>
          <w:rFonts w:hint="eastAsia" w:cs="Helvetica"/>
          <w:b w:val="0"/>
          <w:bCs w:val="0"/>
          <w:color w:val="000000" w:themeColor="text1"/>
          <w14:textFill>
            <w14:solidFill>
              <w14:schemeClr w14:val="tx1"/>
            </w14:solidFill>
          </w14:textFill>
        </w:rPr>
      </w:pPr>
      <w:r>
        <w:rPr>
          <w:rStyle w:val="10"/>
          <w:rFonts w:hint="eastAsia" w:ascii="仿宋_GB2312" w:hAnsi="Helvetica" w:eastAsia="仿宋_GB2312" w:cs="Helvetica"/>
          <w:b w:val="0"/>
          <w:bCs w:val="0"/>
          <w:color w:val="000000" w:themeColor="text1"/>
          <w:sz w:val="32"/>
          <w:szCs w:val="32"/>
          <w14:textFill>
            <w14:solidFill>
              <w14:schemeClr w14:val="tx1"/>
            </w14:solidFill>
          </w14:textFill>
        </w:rPr>
        <w:t>2、由于</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各股</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室人员</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年龄老化</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加上业务知识日新月异，如不通过系统的学习，工作效率难以与时俱进。</w:t>
      </w:r>
      <w:r>
        <w:rPr>
          <w:rStyle w:val="10"/>
          <w:rFonts w:hint="eastAsia" w:ascii="仿宋_GB2312" w:hAnsi="Helvetica" w:eastAsia="仿宋_GB2312" w:cs="Helvetica"/>
          <w:b w:val="0"/>
          <w:bCs w:val="0"/>
          <w:color w:val="000000" w:themeColor="text1"/>
          <w:sz w:val="32"/>
          <w:szCs w:val="32"/>
          <w14:textFill>
            <w14:solidFill>
              <w14:schemeClr w14:val="tx1"/>
            </w14:solidFill>
          </w14:textFill>
        </w:rPr>
        <w:t>固定资产使用人交接程序存在不规范的情况，造成固定资产的登记、管理不便，资产管理需要加强。</w:t>
      </w:r>
      <w:r>
        <w:rPr>
          <w:rStyle w:val="10"/>
          <w:rFonts w:hint="eastAsia" w:cs="Helvetica"/>
          <w:b w:val="0"/>
          <w:bCs w:val="0"/>
          <w:color w:val="000000" w:themeColor="text1"/>
          <w14:textFill>
            <w14:solidFill>
              <w14:schemeClr w14:val="tx1"/>
            </w14:solidFill>
          </w14:textFill>
        </w:rPr>
        <w:t> </w:t>
      </w:r>
    </w:p>
    <w:p>
      <w:pPr>
        <w:pStyle w:val="7"/>
        <w:shd w:val="clear" w:color="auto" w:fill="FFFFFF"/>
        <w:spacing w:before="0" w:beforeAutospacing="0" w:after="0" w:afterAutospacing="0" w:line="420" w:lineRule="atLeast"/>
        <w:ind w:firstLine="645"/>
        <w:rPr>
          <w:rStyle w:val="10"/>
          <w:rFonts w:hint="default" w:ascii="仿宋_GB2312" w:hAnsi="Helvetica" w:eastAsia="仿宋_GB2312" w:cs="Helvetica"/>
          <w:b w:val="0"/>
          <w:bCs w:val="0"/>
          <w:color w:val="000000" w:themeColor="text1"/>
          <w:sz w:val="32"/>
          <w:szCs w:val="32"/>
          <w:lang w:val="en-US" w:eastAsia="zh-CN"/>
          <w14:textFill>
            <w14:solidFill>
              <w14:schemeClr w14:val="tx1"/>
            </w14:solidFill>
          </w14:textFill>
        </w:rPr>
      </w:pPr>
      <w:r>
        <w:rPr>
          <w:rStyle w:val="10"/>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3、</w:t>
      </w:r>
      <w:r>
        <w:rPr>
          <w:rStyle w:val="10"/>
          <w:rFonts w:hint="eastAsia" w:ascii="仿宋_GB2312" w:hAnsi="Helvetica" w:eastAsia="仿宋_GB2312" w:cs="Helvetica"/>
          <w:b w:val="0"/>
          <w:bCs w:val="0"/>
          <w:color w:val="000000" w:themeColor="text1"/>
          <w:sz w:val="32"/>
          <w:szCs w:val="32"/>
          <w:lang w:eastAsia="zh-CN"/>
          <w14:textFill>
            <w14:solidFill>
              <w14:schemeClr w14:val="tx1"/>
            </w14:solidFill>
          </w14:textFill>
        </w:rPr>
        <w:t>基层项目管理停留在传统阶段，程序不够规范，项目管理人员素质有待加强。</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both"/>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一</w:t>
      </w:r>
      <w:r>
        <w:rPr>
          <w:rFonts w:hint="eastAsia" w:ascii="仿宋" w:hAnsi="仿宋" w:eastAsia="仿宋" w:cs="宋体"/>
          <w:color w:val="000000"/>
          <w:kern w:val="0"/>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仿宋" w:hAnsi="仿宋" w:eastAsia="仿宋" w:cs="宋体"/>
          <w:color w:val="000000"/>
          <w:kern w:val="0"/>
          <w:sz w:val="32"/>
          <w:szCs w:val="32"/>
        </w:rPr>
        <w:t>　　</w:t>
      </w:r>
      <w:r>
        <w:rPr>
          <w:rFonts w:hint="eastAsia" w:ascii="仿宋" w:hAnsi="仿宋" w:eastAsia="仿宋" w:cs="宋体"/>
          <w:color w:val="000000"/>
          <w:kern w:val="0"/>
          <w:sz w:val="32"/>
          <w:szCs w:val="32"/>
          <w:lang w:val="en-US" w:eastAsia="zh-CN"/>
        </w:rPr>
        <w:t>二</w:t>
      </w:r>
      <w:r>
        <w:rPr>
          <w:rFonts w:hint="eastAsia" w:ascii="仿宋" w:hAnsi="仿宋" w:eastAsia="仿宋" w:cs="宋体"/>
          <w:color w:val="000000"/>
          <w:kern w:val="0"/>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Pr>
          <w:rFonts w:hint="eastAsia" w:ascii="楷体" w:hAnsi="楷体" w:eastAsia="楷体" w:cs="楷体"/>
          <w:b/>
          <w:bCs/>
          <w:i/>
          <w:color w:val="auto"/>
          <w:kern w:val="0"/>
          <w:sz w:val="32"/>
          <w:szCs w:val="32"/>
          <w:lang w:val="en-US" w:eastAsia="zh-CN" w:bidi="ar-SA"/>
        </w:rPr>
        <w:t>（名词解释应包含本部门专有名词，如省财政厅应有对“财政事务”科目的解释，可参考中央相关部门的名词解释）</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Helvetica">
    <w:panose1 w:val="020B0504020202030204"/>
    <w:charset w:val="00"/>
    <w:family w:val="swiss"/>
    <w:pitch w:val="default"/>
    <w:sig w:usb0="00000007" w:usb1="00000000" w:usb2="00000000" w:usb3="00000000" w:csb0="00000093"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NzBhMDQyZDllNDE1YzBiMTk2NDdmNTUzZGRiNTU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1F56527C"/>
    <w:rsid w:val="2E351FFD"/>
    <w:rsid w:val="4F250A9A"/>
    <w:rsid w:val="4F8008ED"/>
    <w:rsid w:val="5777D4F5"/>
    <w:rsid w:val="5FC6BB1E"/>
    <w:rsid w:val="5FF720F1"/>
    <w:rsid w:val="68106CB9"/>
    <w:rsid w:val="691450B1"/>
    <w:rsid w:val="737D59BA"/>
    <w:rsid w:val="77C37683"/>
    <w:rsid w:val="79FF515B"/>
    <w:rsid w:val="7E271970"/>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qFormat/>
    <w:uiPriority w:val="0"/>
    <w:pPr>
      <w:spacing w:after="120"/>
      <w:ind w:left="420" w:leftChars="200"/>
    </w:pPr>
    <w:rPr>
      <w:rFonts w:ascii="Calibri" w:hAnsi="Calibri" w:eastAsia="宋体"/>
      <w:szCs w:val="24"/>
      <w:u w:val="none"/>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sz w:val="18"/>
      <w:szCs w:val="18"/>
    </w:rPr>
  </w:style>
  <w:style w:type="character" w:customStyle="1" w:styleId="16">
    <w:name w:val="font01"/>
    <w:basedOn w:val="9"/>
    <w:qFormat/>
    <w:uiPriority w:val="0"/>
    <w:rPr>
      <w:rFonts w:hint="eastAsia" w:ascii="宋体" w:hAnsi="宋体" w:eastAsia="宋体" w:cs="宋体"/>
      <w:color w:val="000000"/>
      <w:sz w:val="22"/>
      <w:szCs w:val="22"/>
      <w:u w:val="none"/>
    </w:rPr>
  </w:style>
  <w:style w:type="character" w:customStyle="1" w:styleId="17">
    <w:name w:val="font21"/>
    <w:basedOn w:val="9"/>
    <w:qFormat/>
    <w:uiPriority w:val="0"/>
    <w:rPr>
      <w:rFonts w:hint="eastAsia" w:ascii="宋体" w:hAnsi="宋体" w:eastAsia="宋体" w:cs="宋体"/>
      <w:color w:val="000000"/>
      <w:sz w:val="24"/>
      <w:szCs w:val="24"/>
      <w:u w:val="none"/>
    </w:rPr>
  </w:style>
  <w:style w:type="character" w:customStyle="1" w:styleId="18">
    <w:name w:val="font1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6947</Words>
  <Characters>8549</Characters>
  <Lines>63</Lines>
  <Paragraphs>18</Paragraphs>
  <TotalTime>0</TotalTime>
  <ScaleCrop>false</ScaleCrop>
  <LinksUpToDate>false</LinksUpToDate>
  <CharactersWithSpaces>9409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毛里斯的姐姐</cp:lastModifiedBy>
  <cp:lastPrinted>2023-08-15T09:28:00Z</cp:lastPrinted>
  <dcterms:modified xsi:type="dcterms:W3CDTF">2023-11-22T07:15:22Z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B6651F359C9846D19B5F6212E1B7E17D_12</vt:lpwstr>
  </property>
</Properties>
</file>