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沅江市</w:t>
      </w:r>
      <w:r>
        <w:rPr>
          <w:rFonts w:ascii="方正小标宋简体" w:eastAsia="方正小标宋简体"/>
          <w:sz w:val="44"/>
          <w:szCs w:val="44"/>
        </w:rPr>
        <w:t>琼湖街道办事处</w:t>
      </w:r>
    </w:p>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2022年部门</w:t>
      </w:r>
      <w:r>
        <w:rPr>
          <w:rFonts w:ascii="方正小标宋简体" w:eastAsia="方正小标宋简体"/>
          <w:sz w:val="44"/>
          <w:szCs w:val="44"/>
        </w:rPr>
        <w:t>整体支出绩效自评报告</w:t>
      </w:r>
    </w:p>
    <w:p>
      <w:pPr>
        <w:spacing w:line="600" w:lineRule="exact"/>
        <w:ind w:firstLine="640" w:firstLineChars="200"/>
        <w:jc w:val="left"/>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、部门概况</w:t>
      </w:r>
    </w:p>
    <w:p>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ascii="楷体" w:hAnsi="楷体" w:eastAsia="楷体"/>
          <w:b/>
          <w:sz w:val="32"/>
          <w:szCs w:val="32"/>
        </w:rPr>
      </w:pPr>
      <w:r>
        <w:rPr>
          <w:rFonts w:hint="eastAsia" w:ascii="楷体" w:hAnsi="楷体" w:eastAsia="楷体"/>
          <w:b/>
          <w:sz w:val="32"/>
          <w:szCs w:val="32"/>
        </w:rPr>
        <w:t>（一）部门职能概述</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ascii="仿宋_GB2312" w:hAnsi="方正仿宋简体" w:eastAsia="仿宋_GB2312" w:cs="方正仿宋简体"/>
          <w:sz w:val="32"/>
          <w:szCs w:val="32"/>
        </w:rPr>
      </w:pPr>
      <w:r>
        <w:rPr>
          <w:rFonts w:hint="eastAsia" w:ascii="仿宋_GB2312" w:hAnsi="方正仿宋简体" w:eastAsia="仿宋_GB2312" w:cs="方正仿宋简体"/>
          <w:sz w:val="32"/>
          <w:szCs w:val="32"/>
        </w:rPr>
        <w:t>琼湖街道办事处贯彻落实党中央关于街道工作的方针政策和决策部署,全面落实省委、益阳市委、沅江市委关于街道工作的部署要求，在履行职责过程中坚持和加强党对街道工作的集中统一领导。领导本地区经济、政治、文化、社会、生态文明建设等各项工作和基层社会治理；依法行使政府管理和服务职能。</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1、加强党的建设：以党的建设为引领，全面加强基层政权和基层组织建设；落实基层党建工作责任制，统筹街道社区和村的党建，加强非公有制经济组织和社会组织党建工作，实现党的组织和工作全覆盖。不断提高党的建设质量，落实管党治党责任，推动全面从严治党向基层延伸。</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2、推进区域发展：根据经济社会发展特点，统筹制定并落实辖区发展的重大决策和建设规划。统筹做好采集企业信息、促进项目发展、服务辖区内企业、优化投资环境、人才服务、创业创新服务等工作。指导农村经济发展，推进农业结构调整，建立健全减轻农民负担的监督管理机制，促进农民增收，实施乡村振兴战略，全面推进新农村建设。</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3、组织公共服务：围绕街道发展定位和工作目标，负责实施辖区公共服务设施建设规划，组织实施与群众生活密切相关的各项公共服务，完善社区（村）、教育、医疗等公共配套服务设施，落实人力资源和社会保障、医疗保障、民政、教育、科技、文化体育、卫生健康、退役军人等方面相关政策。</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4、实施公共管理：承担辖区内城乡管理、人口管理、社会管理等工作的组织领导、推进实施、综合协调职责，实施辖区内相关行政事务的常态化管理。</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5、维护公共安全：负责辖区平安建设、社会治安综合治理、应急管理、公共安全等相关工作；处理群众来信来访，反映社情民意，化解矛盾纠纷等。抓好法制宣传和普法教育，提高城乡居民的法律素质，保护公民和各类经济组织的合法权益。</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6、加强监管执法：负责辖区内的综合行政执法管理工作，对辖区内各类行政执法工作进行统筹协调；加强市场监管、安全生产监管、生态环境保护监管和消防安全监管等工作。</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7、领导基层自治：领导村委会、社区居委会建设，加强政治引领和能力建设，推进街道政务公开、居（村）务公开，接受群众和社会监督；组织城乡居民（村民）和单位参与社区（村）建设和管理。</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8、动员社会参与：动员辖区内各类单位、社会组织和城乡居民等社会力量参与社会治理，引导辖区内单位履行社会责任，整合区域内各种社会力量为街道、社区（村）发展服务。</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9、职能转变：全面加强基层党的建设，提升党建引领基层治理的能力。优化公共服务，为经济社会发展提供良好的营商环境。加强对辖区内综合管理工作的组织实施和统筹协调职责。加强辖区内与居民（村民）密切相关的行政审批和公共服务的组织实施职责。加强维护辖区公共安全职责。</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ascii="仿宋_GB2312" w:hAnsi="方正仿宋简体" w:eastAsia="仿宋_GB2312" w:cs="方正仿宋简体"/>
          <w:sz w:val="32"/>
          <w:szCs w:val="32"/>
        </w:rPr>
      </w:pPr>
      <w:r>
        <w:rPr>
          <w:rFonts w:hint="eastAsia" w:ascii="仿宋_GB2312" w:hAnsi="方正仿宋简体" w:eastAsia="仿宋_GB2312" w:cs="方正仿宋简体"/>
          <w:sz w:val="32"/>
          <w:szCs w:val="32"/>
        </w:rPr>
        <w:t>10、承办市委、市政府交办的其他任务。</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ascii="楷体" w:hAnsi="楷体" w:eastAsia="楷体" w:cs="方正仿宋简体"/>
          <w:b/>
          <w:sz w:val="32"/>
          <w:szCs w:val="32"/>
        </w:rPr>
      </w:pPr>
      <w:r>
        <w:rPr>
          <w:rFonts w:hint="eastAsia" w:ascii="楷体" w:hAnsi="楷体" w:eastAsia="楷体" w:cs="方正仿宋简体"/>
          <w:b/>
          <w:sz w:val="32"/>
          <w:szCs w:val="32"/>
        </w:rPr>
        <w:t>（二）部门组织机构</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ascii="仿宋_GB2312" w:hAnsi="方正仿宋简体" w:eastAsia="仿宋_GB2312" w:cs="方正仿宋简体"/>
          <w:sz w:val="32"/>
          <w:szCs w:val="32"/>
        </w:rPr>
      </w:pPr>
      <w:r>
        <w:rPr>
          <w:rFonts w:hint="eastAsia" w:ascii="仿宋_GB2312" w:hAnsi="方正仿宋简体" w:eastAsia="仿宋_GB2312" w:cs="方正仿宋简体"/>
          <w:sz w:val="32"/>
          <w:szCs w:val="32"/>
        </w:rPr>
        <w:t>琼湖街道办事处内设股室</w:t>
      </w:r>
      <w:r>
        <w:rPr>
          <w:rFonts w:hint="eastAsia" w:ascii="Times New Roman" w:hAnsi="Times New Roman" w:eastAsia="仿宋_GB2312" w:cs="Times New Roman"/>
          <w:sz w:val="32"/>
          <w:szCs w:val="32"/>
        </w:rPr>
        <w:t>7</w:t>
      </w:r>
      <w:r>
        <w:rPr>
          <w:rFonts w:hint="eastAsia" w:ascii="仿宋_GB2312" w:hAnsi="方正仿宋简体" w:eastAsia="仿宋_GB2312" w:cs="方正仿宋简体"/>
          <w:sz w:val="32"/>
          <w:szCs w:val="32"/>
        </w:rPr>
        <w:t>个，所属事业单位</w:t>
      </w:r>
      <w:r>
        <w:rPr>
          <w:rFonts w:hint="eastAsia" w:ascii="Times New Roman" w:hAnsi="Times New Roman" w:eastAsia="仿宋_GB2312" w:cs="Times New Roman"/>
          <w:sz w:val="32"/>
          <w:szCs w:val="32"/>
        </w:rPr>
        <w:t>5</w:t>
      </w:r>
      <w:r>
        <w:rPr>
          <w:rFonts w:hint="eastAsia" w:ascii="仿宋_GB2312" w:hAnsi="方正仿宋简体" w:eastAsia="仿宋_GB2312" w:cs="方正仿宋简体"/>
          <w:sz w:val="32"/>
          <w:szCs w:val="32"/>
        </w:rPr>
        <w:t>个：</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内设股室分别是党政办公室、党建办公室、经济发展办公室、社会事务办公室、自然资源和生态环境办公室、社会治安和应急管理办公室、财政财务管理办公室。</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所属事业单位分别是琼湖街道综合行政执法大队、琼湖街道社会事务综合服务中心、琼湖街道农业综合服务中心、琼湖街道党群和政务服务中心、琼湖街道退役军人服务站。</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楷体" w:hAnsi="楷体" w:eastAsia="楷体" w:cs="宋体"/>
          <w:b/>
          <w:kern w:val="0"/>
          <w:sz w:val="32"/>
          <w:szCs w:val="32"/>
        </w:rPr>
      </w:pPr>
      <w:r>
        <w:rPr>
          <w:rFonts w:hint="eastAsia" w:ascii="楷体" w:hAnsi="楷体" w:eastAsia="楷体" w:cs="宋体"/>
          <w:b/>
          <w:kern w:val="0"/>
          <w:sz w:val="32"/>
          <w:szCs w:val="32"/>
        </w:rPr>
        <w:t>（三）人员情况</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沅江市琼湖街道办事处是财政全额拨款单位，目前实有在职人员</w:t>
      </w:r>
      <w:r>
        <w:rPr>
          <w:rFonts w:ascii="Times New Roman" w:hAnsi="Times New Roman" w:eastAsia="仿宋_GB2312" w:cs="Times New Roman"/>
          <w:sz w:val="32"/>
          <w:szCs w:val="32"/>
        </w:rPr>
        <w:t>172</w:t>
      </w:r>
      <w:r>
        <w:rPr>
          <w:rFonts w:hint="eastAsia" w:ascii="仿宋_GB2312" w:hAnsi="方正仿宋简体" w:eastAsia="仿宋_GB2312" w:cs="方正仿宋简体"/>
          <w:sz w:val="32"/>
          <w:szCs w:val="32"/>
        </w:rPr>
        <w:t>人，</w:t>
      </w:r>
      <w:r>
        <w:rPr>
          <w:rFonts w:ascii="仿宋_GB2312" w:hAnsi="方正仿宋简体" w:eastAsia="仿宋_GB2312" w:cs="方正仿宋简体"/>
          <w:sz w:val="32"/>
          <w:szCs w:val="32"/>
        </w:rPr>
        <w:t>其中：行政编制</w:t>
      </w:r>
      <w:r>
        <w:rPr>
          <w:rFonts w:hint="eastAsia" w:ascii="Times New Roman" w:hAnsi="Times New Roman" w:eastAsia="仿宋_GB2312" w:cs="Times New Roman"/>
          <w:sz w:val="32"/>
          <w:szCs w:val="32"/>
        </w:rPr>
        <w:t>92</w:t>
      </w:r>
      <w:r>
        <w:rPr>
          <w:rFonts w:hint="eastAsia" w:ascii="仿宋_GB2312" w:hAnsi="方正仿宋简体" w:eastAsia="仿宋_GB2312" w:cs="方正仿宋简体"/>
          <w:sz w:val="32"/>
          <w:szCs w:val="32"/>
        </w:rPr>
        <w:t>人</w:t>
      </w:r>
      <w:r>
        <w:rPr>
          <w:rFonts w:ascii="仿宋_GB2312" w:hAnsi="方正仿宋简体" w:eastAsia="仿宋_GB2312" w:cs="方正仿宋简体"/>
          <w:sz w:val="32"/>
          <w:szCs w:val="32"/>
        </w:rPr>
        <w:t>，事业编制</w:t>
      </w:r>
      <w:r>
        <w:rPr>
          <w:rFonts w:hint="eastAsia" w:ascii="Times New Roman" w:hAnsi="Times New Roman" w:eastAsia="仿宋_GB2312" w:cs="Times New Roman"/>
          <w:sz w:val="32"/>
          <w:szCs w:val="32"/>
        </w:rPr>
        <w:t>77</w:t>
      </w:r>
      <w:r>
        <w:rPr>
          <w:rFonts w:hint="eastAsia" w:ascii="仿宋_GB2312" w:hAnsi="方正仿宋简体" w:eastAsia="仿宋_GB2312" w:cs="方正仿宋简体"/>
          <w:sz w:val="32"/>
          <w:szCs w:val="32"/>
        </w:rPr>
        <w:t>人</w:t>
      </w:r>
      <w:r>
        <w:rPr>
          <w:rFonts w:ascii="仿宋_GB2312" w:hAnsi="方正仿宋简体" w:eastAsia="仿宋_GB2312" w:cs="方正仿宋简体"/>
          <w:sz w:val="32"/>
          <w:szCs w:val="32"/>
        </w:rPr>
        <w:t>，劳务派遣</w:t>
      </w:r>
      <w:r>
        <w:rPr>
          <w:rFonts w:hint="eastAsia" w:ascii="Times New Roman" w:hAnsi="Times New Roman" w:eastAsia="仿宋_GB2312" w:cs="Times New Roman"/>
          <w:sz w:val="32"/>
          <w:szCs w:val="32"/>
        </w:rPr>
        <w:t>3</w:t>
      </w:r>
      <w:r>
        <w:rPr>
          <w:rFonts w:hint="eastAsia" w:ascii="仿宋_GB2312" w:hAnsi="方正仿宋简体" w:eastAsia="仿宋_GB2312" w:cs="方正仿宋简体"/>
          <w:sz w:val="32"/>
          <w:szCs w:val="32"/>
        </w:rPr>
        <w:t>人</w:t>
      </w:r>
      <w:r>
        <w:rPr>
          <w:rFonts w:ascii="仿宋_GB2312" w:hAnsi="方正仿宋简体" w:eastAsia="仿宋_GB2312" w:cs="方正仿宋简体"/>
          <w:sz w:val="32"/>
          <w:szCs w:val="32"/>
        </w:rPr>
        <w:t>。</w:t>
      </w:r>
    </w:p>
    <w:p>
      <w:pPr>
        <w:keepNext w:val="0"/>
        <w:keepLines w:val="0"/>
        <w:pageBreakBefore w:val="0"/>
        <w:widowControl w:val="0"/>
        <w:numPr>
          <w:ilvl w:val="0"/>
          <w:numId w:val="1"/>
        </w:numPr>
        <w:kinsoku/>
        <w:wordWrap/>
        <w:overflowPunct/>
        <w:topLinePunct w:val="0"/>
        <w:autoSpaceDE w:val="0"/>
        <w:autoSpaceDN/>
        <w:bidi w:val="0"/>
        <w:adjustRightInd/>
        <w:snapToGrid/>
        <w:spacing w:line="640" w:lineRule="exact"/>
        <w:ind w:firstLine="643" w:firstLineChars="200"/>
        <w:textAlignment w:val="auto"/>
        <w:rPr>
          <w:rFonts w:hint="eastAsia" w:ascii="楷体" w:hAnsi="楷体" w:eastAsia="楷体" w:cs="宋体"/>
          <w:b/>
          <w:kern w:val="0"/>
          <w:sz w:val="32"/>
          <w:szCs w:val="32"/>
        </w:rPr>
      </w:pPr>
      <w:r>
        <w:rPr>
          <w:rFonts w:hint="eastAsia" w:ascii="楷体" w:hAnsi="楷体" w:eastAsia="楷体" w:cs="宋体"/>
          <w:b/>
          <w:kern w:val="0"/>
          <w:sz w:val="32"/>
          <w:szCs w:val="32"/>
        </w:rPr>
        <w:t>年度重点工作</w:t>
      </w:r>
    </w:p>
    <w:p>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lang w:val="en-US"/>
        </w:rPr>
        <w:t>全力推进文明城市创建工作</w:t>
      </w:r>
    </w:p>
    <w:p>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琼湖街道坚持以问题为导向，抓细抓小抓实，逐一整改落实，对辖区内楼道口、绿化带及卫生死角集中清理；开展“三微”项目建设工作，对老旧小区、弃管小区集中整治，用细致的规划展开全面的建设，用最短的时间解决群众的诉求，让群众幸福感不断增强，提高群众对创建工作的知晓率、参与率。</w:t>
      </w:r>
    </w:p>
    <w:p>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改善农村人居环境</w:t>
      </w:r>
    </w:p>
    <w:p>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eastAsia="华文中宋"/>
          <w:lang w:val="en-US" w:eastAsia="zh-CN"/>
        </w:rPr>
      </w:pPr>
      <w:r>
        <w:rPr>
          <w:rFonts w:hint="eastAsia" w:ascii="仿宋_GB2312" w:hAnsi="仿宋_GB2312" w:eastAsia="仿宋_GB2312" w:cs="仿宋_GB2312"/>
          <w:sz w:val="32"/>
          <w:szCs w:val="32"/>
          <w:lang w:val="en-US"/>
        </w:rPr>
        <w:t>琼湖街道始终牢记习近平总书记“以实施乡村建设行动为抓手，改善农村人居环境，建设宜居宜业美丽乡村”的殷殷嘱托，将实施乡村振兴战略中“生态宜居”作为重点工程抓实抓好，稳步推进全域人居环境整治工作；街道积极响应市委市政府的号召，街道工委，办事处以河湖长制为抓手，强化对水葫芦问题的交办、督办，联合外包公司对北干渠、南干渠、东干渠、西干渠等流域进行水葫芦及水上漂浮物打捞清理。</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（四）部门整体支出规模、使用方向、主要内容和涉及范围</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hAnsi="Times New Roman" w:eastAsia="仿宋_GB2312" w:cs="Times New Roman"/>
          <w:sz w:val="32"/>
          <w:szCs w:val="32"/>
        </w:rPr>
      </w:pPr>
      <w:r>
        <w:rPr>
          <w:rFonts w:hint="eastAsia" w:ascii="Times New Roman" w:hAnsi="Times New Roman" w:eastAsia="仿宋_GB2312" w:cs="Times New Roman"/>
          <w:sz w:val="32"/>
          <w:szCs w:val="32"/>
        </w:rPr>
        <w:t>2022</w:t>
      </w:r>
      <w:r>
        <w:rPr>
          <w:rFonts w:hint="eastAsia" w:ascii="仿宋_GB2312" w:hAnsi="楷体" w:eastAsia="仿宋_GB2312" w:cs="宋体"/>
          <w:kern w:val="0"/>
          <w:sz w:val="32"/>
          <w:szCs w:val="32"/>
        </w:rPr>
        <w:t>年</w:t>
      </w:r>
      <w:r>
        <w:rPr>
          <w:rFonts w:ascii="仿宋_GB2312" w:hAnsi="Times New Roman" w:eastAsia="仿宋_GB2312" w:cs="Times New Roman"/>
          <w:sz w:val="32"/>
          <w:szCs w:val="32"/>
        </w:rPr>
        <w:t>，我</w:t>
      </w:r>
      <w:r>
        <w:rPr>
          <w:rFonts w:hint="eastAsia" w:ascii="仿宋_GB2312" w:hAnsi="Times New Roman" w:eastAsia="仿宋_GB2312" w:cs="Times New Roman"/>
          <w:sz w:val="32"/>
          <w:szCs w:val="32"/>
        </w:rPr>
        <w:t>办事处</w:t>
      </w:r>
      <w:r>
        <w:rPr>
          <w:rFonts w:ascii="仿宋_GB2312" w:hAnsi="Times New Roman" w:eastAsia="仿宋_GB2312" w:cs="Times New Roman"/>
          <w:sz w:val="32"/>
          <w:szCs w:val="32"/>
        </w:rPr>
        <w:t>整体支出</w:t>
      </w:r>
      <w:r>
        <w:rPr>
          <w:rFonts w:ascii="Times New Roman" w:hAnsi="Times New Roman" w:eastAsia="仿宋_GB2312" w:cs="Times New Roman"/>
          <w:sz w:val="32"/>
          <w:szCs w:val="32"/>
        </w:rPr>
        <w:t>46690.07</w:t>
      </w:r>
      <w:r>
        <w:rPr>
          <w:rFonts w:ascii="仿宋_GB2312" w:hAnsi="Times New Roman" w:eastAsia="仿宋_GB2312" w:cs="Times New Roman"/>
          <w:sz w:val="32"/>
          <w:szCs w:val="32"/>
        </w:rPr>
        <w:t>万元，包括基本支出和项目支出范围，基本支出</w:t>
      </w:r>
      <w:r>
        <w:rPr>
          <w:rFonts w:ascii="Times New Roman" w:hAnsi="Times New Roman" w:eastAsia="仿宋_GB2312" w:cs="Times New Roman"/>
          <w:sz w:val="32"/>
          <w:szCs w:val="32"/>
        </w:rPr>
        <w:t>2398.53</w:t>
      </w:r>
      <w:r>
        <w:rPr>
          <w:rFonts w:ascii="仿宋_GB2312" w:hAnsi="Times New Roman" w:eastAsia="仿宋_GB2312" w:cs="Times New Roman"/>
          <w:sz w:val="32"/>
          <w:szCs w:val="32"/>
        </w:rPr>
        <w:t>万元，主要是保障单位机构正常运转、完成日常工作任务而发生的各项支出（包括用于基本工资、津贴补贴等人员经费以及办公费等日常公用经费）；项目支出</w:t>
      </w:r>
      <w:r>
        <w:rPr>
          <w:rFonts w:ascii="Times New Roman" w:hAnsi="Times New Roman" w:eastAsia="仿宋_GB2312" w:cs="Times New Roman"/>
          <w:sz w:val="32"/>
          <w:szCs w:val="32"/>
        </w:rPr>
        <w:t>44291.54</w:t>
      </w:r>
      <w:r>
        <w:rPr>
          <w:rFonts w:ascii="仿宋_GB2312" w:hAnsi="Times New Roman" w:eastAsia="仿宋_GB2312" w:cs="Times New Roman"/>
          <w:sz w:val="32"/>
          <w:szCs w:val="32"/>
        </w:rPr>
        <w:t>万元，</w:t>
      </w:r>
      <w:r>
        <w:rPr>
          <w:rFonts w:hint="eastAsia" w:ascii="仿宋_GB2312" w:hAnsi="Times New Roman" w:eastAsia="仿宋_GB2312" w:cs="Times New Roman"/>
          <w:sz w:val="32"/>
          <w:szCs w:val="32"/>
        </w:rPr>
        <w:t>主要</w:t>
      </w:r>
      <w:r>
        <w:rPr>
          <w:rFonts w:ascii="仿宋_GB2312" w:hAnsi="Times New Roman" w:eastAsia="仿宋_GB2312" w:cs="Times New Roman"/>
          <w:sz w:val="32"/>
          <w:szCs w:val="32"/>
        </w:rPr>
        <w:t>是为完成特定行政工作任务或事业发展目标而发生的各项费用</w:t>
      </w:r>
      <w:r>
        <w:rPr>
          <w:rFonts w:hint="eastAsia" w:ascii="仿宋_GB2312" w:hAnsi="Times New Roman" w:eastAsia="仿宋_GB2312" w:cs="Times New Roman"/>
          <w:sz w:val="32"/>
          <w:szCs w:val="32"/>
        </w:rPr>
        <w:t>（包括</w:t>
      </w:r>
      <w:r>
        <w:rPr>
          <w:rFonts w:ascii="仿宋_GB2312" w:hAnsi="Times New Roman" w:eastAsia="仿宋_GB2312" w:cs="Times New Roman"/>
          <w:sz w:val="32"/>
          <w:szCs w:val="32"/>
        </w:rPr>
        <w:t>用于</w:t>
      </w:r>
      <w:r>
        <w:rPr>
          <w:rFonts w:hint="eastAsia" w:ascii="仿宋_GB2312" w:hAnsi="Times New Roman" w:eastAsia="仿宋_GB2312" w:cs="Times New Roman"/>
          <w:sz w:val="32"/>
          <w:szCs w:val="32"/>
        </w:rPr>
        <w:t>武装征兵</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综治</w:t>
      </w:r>
      <w:r>
        <w:rPr>
          <w:rFonts w:ascii="仿宋_GB2312" w:hAnsi="Times New Roman" w:eastAsia="仿宋_GB2312" w:cs="Times New Roman"/>
          <w:sz w:val="32"/>
          <w:szCs w:val="32"/>
        </w:rPr>
        <w:t>维稳、创文创卫等</w:t>
      </w:r>
      <w:r>
        <w:rPr>
          <w:rFonts w:hint="eastAsia" w:ascii="仿宋_GB2312" w:hAnsi="Times New Roman" w:eastAsia="仿宋_GB2312" w:cs="Times New Roman"/>
          <w:sz w:val="32"/>
          <w:szCs w:val="32"/>
        </w:rPr>
        <w:t>各项目</w:t>
      </w:r>
      <w:r>
        <w:rPr>
          <w:rFonts w:ascii="仿宋_GB2312" w:hAnsi="Times New Roman" w:eastAsia="仿宋_GB2312" w:cs="Times New Roman"/>
          <w:sz w:val="32"/>
          <w:szCs w:val="32"/>
        </w:rPr>
        <w:t>经费</w:t>
      </w:r>
      <w:r>
        <w:rPr>
          <w:rFonts w:hint="eastAsia" w:ascii="仿宋_GB2312"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、部门整体支出</w:t>
      </w:r>
      <w:r>
        <w:rPr>
          <w:rFonts w:hint="eastAsia" w:ascii="黑体" w:hAnsi="黑体" w:eastAsia="黑体" w:cs="Times New Roman"/>
          <w:sz w:val="32"/>
          <w:szCs w:val="32"/>
        </w:rPr>
        <w:t>资金管理</w:t>
      </w:r>
      <w:r>
        <w:rPr>
          <w:rFonts w:ascii="黑体" w:hAnsi="黑体" w:eastAsia="黑体" w:cs="Times New Roman"/>
          <w:sz w:val="32"/>
          <w:szCs w:val="32"/>
        </w:rPr>
        <w:t>及使用情况</w:t>
      </w:r>
    </w:p>
    <w:p>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（一）基本支出</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基本支出的主要用途范围及资金的管理情况</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方正仿宋简体" w:eastAsia="仿宋_GB2312" w:cs="方正仿宋简体"/>
          <w:sz w:val="32"/>
          <w:szCs w:val="32"/>
        </w:rPr>
        <w:t>我单位基本支出主要用于维持机关基本运转，履行部门主要职责而发生的各项支出，包括基本工资、津贴补贴、奖金、伙食补助费、三险二金、办公费、电费、差旅费、工会经费、其他交通费用、对个人和家庭的补助等。基本支出的主要用途及资金的管理情况：</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仿宋_GB2312" w:hAnsi="方正仿宋简体" w:eastAsia="仿宋_GB2312" w:cs="方正仿宋简体"/>
          <w:sz w:val="32"/>
          <w:szCs w:val="32"/>
        </w:rPr>
        <w:t>年基本支出</w:t>
      </w:r>
      <w:r>
        <w:rPr>
          <w:rFonts w:hint="eastAsia" w:ascii="Times New Roman" w:hAnsi="Times New Roman" w:eastAsia="仿宋_GB2312" w:cs="Times New Roman"/>
          <w:sz w:val="32"/>
          <w:szCs w:val="32"/>
          <w:lang w:val="en-US" w:eastAsia="zh-CN"/>
        </w:rPr>
        <w:t>2398.53</w:t>
      </w:r>
      <w:r>
        <w:rPr>
          <w:rFonts w:hint="eastAsia" w:ascii="仿宋_GB2312" w:hAnsi="方正仿宋简体" w:eastAsia="仿宋_GB2312" w:cs="方正仿宋简体"/>
          <w:sz w:val="32"/>
          <w:szCs w:val="32"/>
        </w:rPr>
        <w:t>万元，其中：工资福利支出</w:t>
      </w:r>
      <w:r>
        <w:rPr>
          <w:rFonts w:hint="eastAsia" w:ascii="Times New Roman" w:hAnsi="Times New Roman" w:eastAsia="仿宋_GB2312" w:cs="Times New Roman"/>
          <w:sz w:val="32"/>
          <w:szCs w:val="32"/>
          <w:lang w:val="en-US" w:eastAsia="zh-CN"/>
        </w:rPr>
        <w:t>1946.51</w:t>
      </w:r>
      <w:r>
        <w:rPr>
          <w:rFonts w:hint="eastAsia" w:ascii="仿宋_GB2312" w:hAnsi="方正仿宋简体" w:eastAsia="仿宋_GB2312" w:cs="方正仿宋简体"/>
          <w:sz w:val="32"/>
          <w:szCs w:val="32"/>
        </w:rPr>
        <w:t>万元；对个人和家庭的补助</w:t>
      </w:r>
      <w:r>
        <w:rPr>
          <w:rFonts w:hint="eastAsia" w:ascii="Times New Roman" w:hAnsi="Times New Roman" w:eastAsia="仿宋_GB2312" w:cs="Times New Roman"/>
          <w:sz w:val="32"/>
          <w:szCs w:val="32"/>
          <w:lang w:val="en-US" w:eastAsia="zh-CN"/>
        </w:rPr>
        <w:t>72.11</w:t>
      </w:r>
      <w:r>
        <w:rPr>
          <w:rFonts w:hint="eastAsia" w:ascii="仿宋_GB2312" w:hAnsi="方正仿宋简体" w:eastAsia="仿宋_GB2312" w:cs="方正仿宋简体"/>
          <w:sz w:val="32"/>
          <w:szCs w:val="32"/>
        </w:rPr>
        <w:t>万元；商品和服务支出</w:t>
      </w:r>
      <w:r>
        <w:rPr>
          <w:rFonts w:hint="eastAsia" w:ascii="Times New Roman" w:hAnsi="Times New Roman" w:eastAsia="仿宋_GB2312" w:cs="Times New Roman"/>
          <w:sz w:val="32"/>
          <w:szCs w:val="32"/>
          <w:lang w:val="en-US" w:eastAsia="zh-CN"/>
        </w:rPr>
        <w:t>379.91</w:t>
      </w:r>
      <w:r>
        <w:rPr>
          <w:rFonts w:hint="eastAsia" w:ascii="仿宋_GB2312" w:hAnsi="方正仿宋简体" w:eastAsia="仿宋_GB2312" w:cs="方正仿宋简体"/>
          <w:sz w:val="32"/>
          <w:szCs w:val="32"/>
        </w:rPr>
        <w:t>万元。</w:t>
      </w:r>
    </w:p>
    <w:p>
      <w:pPr>
        <w:keepNext w:val="0"/>
        <w:keepLines w:val="0"/>
        <w:pageBreakBefore w:val="0"/>
        <w:widowControl w:val="0"/>
        <w:kinsoku/>
        <w:wordWrap/>
        <w:overflowPunct/>
        <w:topLinePunct w:val="0"/>
        <w:autoSpaceDN/>
        <w:bidi w:val="0"/>
        <w:adjustRightInd/>
        <w:snapToGrid/>
        <w:spacing w:line="560" w:lineRule="exact"/>
        <w:ind w:firstLine="560" w:firstLineChars="200"/>
        <w:jc w:val="center"/>
        <w:textAlignment w:val="auto"/>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表</w:t>
      </w:r>
      <w:r>
        <w:rPr>
          <w:rFonts w:ascii="Times New Roman" w:hAnsi="Times New Roman" w:eastAsia="仿宋_GB2312" w:cs="Times New Roman"/>
          <w:kern w:val="0"/>
          <w:sz w:val="28"/>
          <w:szCs w:val="28"/>
        </w:rPr>
        <w:t>1-1 20</w:t>
      </w:r>
      <w:r>
        <w:rPr>
          <w:rFonts w:hint="eastAsia" w:ascii="Times New Roman" w:hAnsi="Times New Roman" w:eastAsia="仿宋_GB2312" w:cs="Times New Roman"/>
          <w:kern w:val="0"/>
          <w:sz w:val="28"/>
          <w:szCs w:val="28"/>
        </w:rPr>
        <w:t>2</w:t>
      </w:r>
      <w:r>
        <w:rPr>
          <w:rFonts w:ascii="Times New Roman" w:hAnsi="Times New Roman" w:eastAsia="仿宋_GB2312" w:cs="Times New Roman"/>
          <w:kern w:val="0"/>
          <w:sz w:val="28"/>
          <w:szCs w:val="28"/>
        </w:rPr>
        <w:t>2</w:t>
      </w:r>
      <w:r>
        <w:rPr>
          <w:rFonts w:ascii="仿宋_GB2312" w:hAnsi="Times New Roman" w:eastAsia="仿宋_GB2312" w:cs="Times New Roman"/>
          <w:kern w:val="0"/>
          <w:sz w:val="28"/>
          <w:szCs w:val="28"/>
        </w:rPr>
        <w:t>年度基本支出预决算情况</w:t>
      </w:r>
    </w:p>
    <w:p>
      <w:pPr>
        <w:keepNext w:val="0"/>
        <w:keepLines w:val="0"/>
        <w:pageBreakBefore w:val="0"/>
        <w:widowControl w:val="0"/>
        <w:kinsoku/>
        <w:wordWrap/>
        <w:overflowPunct/>
        <w:topLinePunct w:val="0"/>
        <w:autoSpaceDN/>
        <w:bidi w:val="0"/>
        <w:adjustRightInd/>
        <w:snapToGrid/>
        <w:spacing w:line="560" w:lineRule="exact"/>
        <w:ind w:firstLine="560" w:firstLineChars="200"/>
        <w:jc w:val="right"/>
        <w:textAlignment w:val="auto"/>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单位</w:t>
      </w:r>
      <w:r>
        <w:rPr>
          <w:rFonts w:ascii="仿宋_GB2312" w:hAnsi="Times New Roman" w:eastAsia="仿宋_GB2312" w:cs="Times New Roman"/>
          <w:kern w:val="0"/>
          <w:sz w:val="28"/>
          <w:szCs w:val="28"/>
        </w:rPr>
        <w:t>：万元</w:t>
      </w:r>
    </w:p>
    <w:tbl>
      <w:tblPr>
        <w:tblStyle w:val="7"/>
        <w:tblW w:w="0" w:type="auto"/>
        <w:tblInd w:w="-19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8"/>
        <w:gridCol w:w="2757"/>
        <w:gridCol w:w="1378"/>
        <w:gridCol w:w="1378"/>
        <w:gridCol w:w="1378"/>
        <w:gridCol w:w="17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18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ascii="仿宋_GB2312" w:hAnsi="Times New Roman" w:eastAsia="仿宋_GB2312" w:cs="Times New Roman"/>
                <w:kern w:val="0"/>
                <w:szCs w:val="21"/>
              </w:rPr>
            </w:pPr>
            <w:r>
              <w:rPr>
                <w:rFonts w:hint="eastAsia" w:ascii="仿宋_GB2312" w:hAnsi="Times New Roman" w:eastAsia="仿宋_GB2312" w:cs="Times New Roman"/>
                <w:kern w:val="0"/>
                <w:szCs w:val="21"/>
              </w:rPr>
              <w:t>序号</w:t>
            </w:r>
          </w:p>
        </w:tc>
        <w:tc>
          <w:tcPr>
            <w:tcW w:w="2757"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项目支出</w:t>
            </w:r>
          </w:p>
        </w:tc>
        <w:tc>
          <w:tcPr>
            <w:tcW w:w="137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年初预算</w:t>
            </w:r>
          </w:p>
        </w:tc>
        <w:tc>
          <w:tcPr>
            <w:tcW w:w="137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调整预算</w:t>
            </w:r>
          </w:p>
        </w:tc>
        <w:tc>
          <w:tcPr>
            <w:tcW w:w="137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实际支出</w:t>
            </w:r>
          </w:p>
        </w:tc>
        <w:tc>
          <w:tcPr>
            <w:tcW w:w="1799"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预算执行率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18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1</w:t>
            </w:r>
          </w:p>
        </w:tc>
        <w:tc>
          <w:tcPr>
            <w:tcW w:w="2757"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工资福利支出</w:t>
            </w:r>
          </w:p>
        </w:tc>
        <w:tc>
          <w:tcPr>
            <w:tcW w:w="137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ascii="仿宋_GB2312" w:hAnsi="Times New Roman" w:eastAsia="仿宋_GB2312" w:cs="Times New Roman"/>
                <w:kern w:val="0"/>
                <w:szCs w:val="21"/>
              </w:rPr>
              <w:t>1946.51</w:t>
            </w:r>
          </w:p>
        </w:tc>
        <w:tc>
          <w:tcPr>
            <w:tcW w:w="1799"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18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2</w:t>
            </w:r>
          </w:p>
        </w:tc>
        <w:tc>
          <w:tcPr>
            <w:tcW w:w="2757"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商品和服务支出</w:t>
            </w:r>
          </w:p>
        </w:tc>
        <w:tc>
          <w:tcPr>
            <w:tcW w:w="137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ascii="仿宋_GB2312" w:hAnsi="Times New Roman" w:eastAsia="仿宋_GB2312" w:cs="Times New Roman"/>
                <w:kern w:val="0"/>
                <w:szCs w:val="21"/>
              </w:rPr>
              <w:t>379.91</w:t>
            </w:r>
          </w:p>
        </w:tc>
        <w:tc>
          <w:tcPr>
            <w:tcW w:w="1799"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18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3</w:t>
            </w:r>
          </w:p>
        </w:tc>
        <w:tc>
          <w:tcPr>
            <w:tcW w:w="2757"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对个人和家庭的补助</w:t>
            </w:r>
          </w:p>
        </w:tc>
        <w:tc>
          <w:tcPr>
            <w:tcW w:w="137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ascii="仿宋_GB2312" w:hAnsi="Times New Roman" w:eastAsia="仿宋_GB2312" w:cs="Times New Roman"/>
                <w:kern w:val="0"/>
                <w:szCs w:val="21"/>
              </w:rPr>
              <w:t>72.11</w:t>
            </w:r>
          </w:p>
        </w:tc>
        <w:tc>
          <w:tcPr>
            <w:tcW w:w="1799"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18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4</w:t>
            </w:r>
          </w:p>
        </w:tc>
        <w:tc>
          <w:tcPr>
            <w:tcW w:w="2757"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hint="eastAsia" w:ascii="仿宋_GB2312" w:hAnsi="Times New Roman" w:eastAsia="仿宋_GB2312" w:cs="Times New Roman"/>
                <w:kern w:val="0"/>
                <w:szCs w:val="21"/>
              </w:rPr>
              <w:t>合  计</w:t>
            </w:r>
          </w:p>
        </w:tc>
        <w:tc>
          <w:tcPr>
            <w:tcW w:w="137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p>
        </w:tc>
        <w:tc>
          <w:tcPr>
            <w:tcW w:w="137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r>
              <w:rPr>
                <w:rFonts w:ascii="仿宋_GB2312" w:hAnsi="Times New Roman" w:eastAsia="仿宋_GB2312" w:cs="Times New Roman"/>
                <w:kern w:val="0"/>
                <w:szCs w:val="21"/>
              </w:rPr>
              <w:t>2398.53</w:t>
            </w:r>
          </w:p>
        </w:tc>
        <w:tc>
          <w:tcPr>
            <w:tcW w:w="1799"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jc w:val="center"/>
              <w:textAlignment w:val="auto"/>
              <w:rPr>
                <w:rFonts w:hint="eastAsia" w:ascii="仿宋_GB2312" w:hAnsi="Times New Roman" w:eastAsia="仿宋_GB2312" w:cs="Times New Roman"/>
                <w:kern w:val="0"/>
                <w:szCs w:val="21"/>
              </w:rPr>
            </w:pPr>
          </w:p>
        </w:tc>
      </w:tr>
    </w:tbl>
    <w:p>
      <w:pPr>
        <w:keepNext w:val="0"/>
        <w:keepLines w:val="0"/>
        <w:pageBreakBefore w:val="0"/>
        <w:widowControl w:val="0"/>
        <w:kinsoku/>
        <w:wordWrap/>
        <w:overflowPunct/>
        <w:topLinePunct w:val="0"/>
        <w:autoSpaceDN/>
        <w:bidi w:val="0"/>
        <w:adjustRightInd/>
        <w:snapToGrid/>
        <w:spacing w:line="560" w:lineRule="exact"/>
        <w:ind w:firstLine="420" w:firstLineChars="200"/>
        <w:jc w:val="center"/>
        <w:textAlignment w:val="auto"/>
        <w:rPr>
          <w:rFonts w:hint="eastAsia" w:ascii="Times New Roman" w:hAnsi="Times New Roman" w:eastAsia="宋体" w:cs="Times New Roman"/>
          <w:szCs w:val="21"/>
        </w:rPr>
      </w:pP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2.年初总预算收支情况</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方正仿宋简体" w:eastAsia="仿宋_GB2312" w:cs="方正仿宋简体"/>
          <w:sz w:val="32"/>
          <w:szCs w:val="32"/>
        </w:rPr>
      </w:pPr>
      <w:r>
        <w:rPr>
          <w:rFonts w:hint="eastAsia" w:ascii="Times New Roman" w:hAnsi="Times New Roman" w:eastAsia="仿宋_GB2312" w:cs="Times New Roman"/>
          <w:sz w:val="32"/>
          <w:szCs w:val="32"/>
          <w:lang w:val="en-US" w:eastAsia="zh-CN"/>
        </w:rPr>
        <w:t>2022</w:t>
      </w:r>
      <w:r>
        <w:rPr>
          <w:rFonts w:hint="eastAsia" w:ascii="仿宋_GB2312" w:hAnsi="方正仿宋简体" w:eastAsia="仿宋_GB2312" w:cs="方正仿宋简体"/>
          <w:sz w:val="32"/>
          <w:szCs w:val="32"/>
        </w:rPr>
        <w:t>年单位</w:t>
      </w:r>
      <w:r>
        <w:rPr>
          <w:rFonts w:hint="eastAsia" w:ascii="仿宋_GB2312" w:hAnsi="方正仿宋简体" w:eastAsia="仿宋_GB2312" w:cs="方正仿宋简体"/>
          <w:sz w:val="32"/>
          <w:szCs w:val="32"/>
          <w:lang w:eastAsia="zh-CN"/>
        </w:rPr>
        <w:t>基本支出</w:t>
      </w:r>
      <w:r>
        <w:rPr>
          <w:rFonts w:hint="eastAsia" w:ascii="仿宋_GB2312" w:hAnsi="方正仿宋简体" w:eastAsia="仿宋_GB2312" w:cs="方正仿宋简体"/>
          <w:sz w:val="32"/>
          <w:szCs w:val="32"/>
        </w:rPr>
        <w:t>预算收入</w:t>
      </w:r>
      <w:r>
        <w:rPr>
          <w:rFonts w:hint="eastAsia" w:ascii="Times New Roman" w:hAnsi="Times New Roman" w:eastAsia="仿宋_GB2312" w:cs="Times New Roman"/>
          <w:sz w:val="32"/>
          <w:szCs w:val="32"/>
          <w:lang w:val="en-US" w:eastAsia="zh-CN"/>
        </w:rPr>
        <w:t>2082.25</w:t>
      </w:r>
      <w:r>
        <w:rPr>
          <w:rFonts w:hint="eastAsia" w:ascii="仿宋_GB2312" w:hAnsi="方正仿宋简体" w:eastAsia="仿宋_GB2312" w:cs="方正仿宋简体"/>
          <w:sz w:val="32"/>
          <w:szCs w:val="32"/>
        </w:rPr>
        <w:t>万元，</w:t>
      </w:r>
      <w:r>
        <w:rPr>
          <w:rFonts w:hint="eastAsia" w:ascii="仿宋_GB2312" w:hAnsi="方正仿宋简体" w:eastAsia="仿宋_GB2312" w:cs="方正仿宋简体"/>
          <w:sz w:val="32"/>
          <w:szCs w:val="32"/>
          <w:lang w:eastAsia="zh-CN"/>
        </w:rPr>
        <w:t>全部为</w:t>
      </w:r>
      <w:r>
        <w:rPr>
          <w:rFonts w:hint="eastAsia" w:ascii="仿宋_GB2312" w:hAnsi="方正仿宋简体" w:eastAsia="仿宋_GB2312" w:cs="方正仿宋简体"/>
          <w:sz w:val="32"/>
          <w:szCs w:val="32"/>
        </w:rPr>
        <w:t>一般公共预算拨款；</w:t>
      </w:r>
      <w:r>
        <w:rPr>
          <w:rFonts w:hint="eastAsia" w:ascii="Times New Roman" w:hAnsi="Times New Roman" w:eastAsia="仿宋_GB2312" w:cs="Times New Roman"/>
          <w:sz w:val="32"/>
          <w:szCs w:val="32"/>
          <w:lang w:val="en-US" w:eastAsia="zh-CN"/>
        </w:rPr>
        <w:t>2022</w:t>
      </w:r>
      <w:r>
        <w:rPr>
          <w:rFonts w:hint="eastAsia" w:ascii="仿宋_GB2312" w:hAnsi="方正仿宋简体" w:eastAsia="仿宋_GB2312" w:cs="方正仿宋简体"/>
          <w:sz w:val="32"/>
          <w:szCs w:val="32"/>
        </w:rPr>
        <w:t>年单位</w:t>
      </w:r>
      <w:r>
        <w:rPr>
          <w:rFonts w:hint="eastAsia" w:ascii="仿宋_GB2312" w:hAnsi="方正仿宋简体" w:eastAsia="仿宋_GB2312" w:cs="方正仿宋简体"/>
          <w:sz w:val="32"/>
          <w:szCs w:val="32"/>
          <w:lang w:eastAsia="zh-CN"/>
        </w:rPr>
        <w:t>基本支出</w:t>
      </w:r>
      <w:r>
        <w:rPr>
          <w:rFonts w:hint="eastAsia" w:ascii="仿宋_GB2312" w:hAnsi="方正仿宋简体" w:eastAsia="仿宋_GB2312" w:cs="方正仿宋简体"/>
          <w:sz w:val="32"/>
          <w:szCs w:val="32"/>
        </w:rPr>
        <w:t>预算支出</w:t>
      </w:r>
      <w:r>
        <w:rPr>
          <w:rFonts w:hint="eastAsia" w:ascii="Times New Roman" w:hAnsi="Times New Roman" w:eastAsia="仿宋_GB2312" w:cs="Times New Roman"/>
          <w:sz w:val="32"/>
          <w:szCs w:val="32"/>
          <w:lang w:val="en-US" w:eastAsia="zh-CN"/>
        </w:rPr>
        <w:t>2082.25</w:t>
      </w:r>
      <w:r>
        <w:rPr>
          <w:rFonts w:hint="eastAsia" w:ascii="仿宋_GB2312" w:hAnsi="方正仿宋简体" w:eastAsia="仿宋_GB2312" w:cs="方正仿宋简体"/>
          <w:sz w:val="32"/>
          <w:szCs w:val="32"/>
        </w:rPr>
        <w:t>万元，其中：</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人员经费支出</w:t>
      </w:r>
      <w:r>
        <w:rPr>
          <w:rFonts w:hint="eastAsia" w:ascii="Times New Roman" w:hAnsi="Times New Roman" w:eastAsia="仿宋_GB2312" w:cs="Times New Roman"/>
          <w:sz w:val="32"/>
          <w:szCs w:val="32"/>
          <w:lang w:val="en-US" w:eastAsia="zh-CN"/>
        </w:rPr>
        <w:t>1603.55</w:t>
      </w:r>
      <w:r>
        <w:rPr>
          <w:rFonts w:hint="eastAsia" w:ascii="仿宋_GB2312" w:hAnsi="方正仿宋简体" w:eastAsia="仿宋_GB2312" w:cs="方正仿宋简体"/>
          <w:sz w:val="32"/>
          <w:szCs w:val="32"/>
        </w:rPr>
        <w:t>万元，公用经费支出</w:t>
      </w:r>
      <w:r>
        <w:rPr>
          <w:rFonts w:hint="eastAsia" w:ascii="Times New Roman" w:hAnsi="Times New Roman" w:eastAsia="仿宋_GB2312" w:cs="Times New Roman"/>
          <w:sz w:val="32"/>
          <w:szCs w:val="32"/>
          <w:lang w:val="en-US" w:eastAsia="zh-CN"/>
        </w:rPr>
        <w:t>280.50</w:t>
      </w:r>
      <w:r>
        <w:rPr>
          <w:rFonts w:hint="eastAsia" w:ascii="仿宋_GB2312" w:hAnsi="方正仿宋简体" w:eastAsia="仿宋_GB2312" w:cs="方正仿宋简体"/>
          <w:sz w:val="32"/>
          <w:szCs w:val="32"/>
        </w:rPr>
        <w:t>万元，主要是保障单位机构正常运转、完成日常工作任务而发生的各项支出，包括用于基本工资、津贴补贴等人员经费以及办公费、印刷费、水电费、办公设备购置等日常公用经费。</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b w:val="0"/>
          <w:bCs/>
          <w:sz w:val="32"/>
          <w:szCs w:val="32"/>
          <w:lang w:val="en-US" w:eastAsia="zh-CN"/>
        </w:rPr>
      </w:pPr>
      <w:r>
        <w:rPr>
          <w:rFonts w:hint="eastAsia" w:ascii="仿宋_GB2312" w:hAnsi="方正仿宋简体" w:eastAsia="仿宋_GB2312" w:cs="方正仿宋简体"/>
          <w:sz w:val="32"/>
          <w:szCs w:val="32"/>
          <w:lang w:val="en-US" w:eastAsia="zh-CN"/>
        </w:rPr>
        <w:t>3.</w:t>
      </w:r>
      <w:r>
        <w:rPr>
          <w:rFonts w:hint="eastAsia" w:ascii="仿宋_GB2312" w:eastAsia="仿宋_GB2312"/>
          <w:sz w:val="32"/>
          <w:szCs w:val="32"/>
        </w:rPr>
        <w:t>本年财政拨款预算追加及年度可用财政拨款预算指标</w:t>
      </w:r>
      <w:r>
        <w:rPr>
          <w:rFonts w:hint="eastAsia" w:ascii="仿宋_GB2312" w:eastAsia="仿宋_GB2312"/>
          <w:b w:val="0"/>
          <w:bCs/>
          <w:sz w:val="32"/>
          <w:szCs w:val="32"/>
        </w:rPr>
        <w:t>情况</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年度预算收入决算情况</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b w:val="0"/>
          <w:bCs/>
          <w:sz w:val="32"/>
          <w:szCs w:val="32"/>
          <w:lang w:val="en-US" w:eastAsia="zh-CN"/>
        </w:rPr>
        <w:t>年基本支出决算</w:t>
      </w:r>
      <w:r>
        <w:rPr>
          <w:rFonts w:hint="eastAsia" w:ascii="Times New Roman" w:hAnsi="Times New Roman" w:eastAsia="仿宋_GB2312" w:cs="Times New Roman"/>
          <w:sz w:val="32"/>
          <w:szCs w:val="32"/>
          <w:lang w:val="en-US" w:eastAsia="zh-CN"/>
        </w:rPr>
        <w:t>2398.53</w:t>
      </w:r>
      <w:r>
        <w:rPr>
          <w:rFonts w:hint="eastAsia" w:ascii="仿宋_GB2312" w:hAnsi="仿宋_GB2312" w:eastAsia="仿宋_GB2312" w:cs="仿宋_GB2312"/>
          <w:b w:val="0"/>
          <w:bCs/>
          <w:sz w:val="32"/>
          <w:szCs w:val="32"/>
          <w:lang w:val="en-US" w:eastAsia="zh-CN"/>
        </w:rPr>
        <w:t>万元，其中：</w:t>
      </w:r>
      <w:r>
        <w:rPr>
          <w:rFonts w:hint="eastAsia" w:ascii="仿宋_GB2312" w:hAnsi="方正仿宋简体" w:eastAsia="仿宋_GB2312" w:cs="方正仿宋简体"/>
          <w:sz w:val="32"/>
          <w:szCs w:val="32"/>
        </w:rPr>
        <w:t>工资福利支出</w:t>
      </w:r>
      <w:r>
        <w:rPr>
          <w:rFonts w:hint="eastAsia" w:ascii="Times New Roman" w:hAnsi="Times New Roman" w:eastAsia="仿宋_GB2312" w:cs="Times New Roman"/>
          <w:sz w:val="32"/>
          <w:szCs w:val="32"/>
          <w:lang w:val="en-US" w:eastAsia="zh-CN"/>
        </w:rPr>
        <w:t>1946.51</w:t>
      </w:r>
      <w:r>
        <w:rPr>
          <w:rFonts w:hint="eastAsia" w:ascii="仿宋_GB2312" w:hAnsi="方正仿宋简体" w:eastAsia="仿宋_GB2312" w:cs="方正仿宋简体"/>
          <w:sz w:val="32"/>
          <w:szCs w:val="32"/>
        </w:rPr>
        <w:t>万元；对个人和家庭的补助</w:t>
      </w:r>
      <w:r>
        <w:rPr>
          <w:rFonts w:hint="eastAsia" w:ascii="Times New Roman" w:hAnsi="Times New Roman" w:eastAsia="仿宋_GB2312" w:cs="Times New Roman"/>
          <w:sz w:val="32"/>
          <w:szCs w:val="32"/>
          <w:lang w:val="en-US" w:eastAsia="zh-CN"/>
        </w:rPr>
        <w:t>72.11</w:t>
      </w:r>
      <w:r>
        <w:rPr>
          <w:rFonts w:hint="eastAsia" w:ascii="仿宋_GB2312" w:hAnsi="方正仿宋简体" w:eastAsia="仿宋_GB2312" w:cs="方正仿宋简体"/>
          <w:sz w:val="32"/>
          <w:szCs w:val="32"/>
        </w:rPr>
        <w:t>万元；商品和服务支出</w:t>
      </w:r>
      <w:r>
        <w:rPr>
          <w:rFonts w:hint="eastAsia" w:ascii="Times New Roman" w:hAnsi="Times New Roman" w:eastAsia="仿宋_GB2312" w:cs="Times New Roman"/>
          <w:sz w:val="32"/>
          <w:szCs w:val="32"/>
          <w:lang w:val="en-US" w:eastAsia="zh-CN"/>
        </w:rPr>
        <w:t>379.91</w:t>
      </w:r>
      <w:r>
        <w:rPr>
          <w:rFonts w:hint="eastAsia" w:ascii="仿宋_GB2312" w:hAnsi="方正仿宋简体" w:eastAsia="仿宋_GB2312" w:cs="方正仿宋简体"/>
          <w:sz w:val="32"/>
          <w:szCs w:val="32"/>
        </w:rPr>
        <w:t>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caps w:val="0"/>
          <w:kern w:val="2"/>
          <w:sz w:val="32"/>
          <w:szCs w:val="32"/>
          <w:lang w:val="en-US" w:eastAsia="zh-CN" w:bidi="ar-SA"/>
        </w:rPr>
        <w:t>年度预算支出决算及结余情况</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方正仿宋简体" w:eastAsia="仿宋_GB2312" w:cs="方正仿宋简体"/>
          <w:sz w:val="32"/>
          <w:szCs w:val="32"/>
        </w:rPr>
      </w:pPr>
      <w:r>
        <w:rPr>
          <w:rFonts w:hint="eastAsia" w:ascii="Times New Roman" w:hAnsi="Times New Roman" w:eastAsia="仿宋_GB2312" w:cs="Times New Roman"/>
          <w:sz w:val="32"/>
          <w:szCs w:val="32"/>
          <w:lang w:val="en-US" w:eastAsia="zh-CN"/>
        </w:rPr>
        <w:t>2022</w:t>
      </w:r>
      <w:r>
        <w:rPr>
          <w:rFonts w:hint="eastAsia" w:ascii="仿宋_GB2312" w:hAnsi="方正仿宋简体" w:eastAsia="仿宋_GB2312" w:cs="方正仿宋简体"/>
          <w:sz w:val="32"/>
          <w:szCs w:val="32"/>
        </w:rPr>
        <w:t>年度</w:t>
      </w:r>
      <w:r>
        <w:rPr>
          <w:rFonts w:hint="eastAsia" w:ascii="仿宋_GB2312" w:hAnsi="方正仿宋简体" w:eastAsia="仿宋_GB2312" w:cs="方正仿宋简体"/>
          <w:sz w:val="32"/>
          <w:szCs w:val="32"/>
          <w:lang w:eastAsia="zh-CN"/>
        </w:rPr>
        <w:t>基本支出</w:t>
      </w:r>
      <w:r>
        <w:rPr>
          <w:rFonts w:hint="eastAsia" w:ascii="仿宋_GB2312" w:hAnsi="方正仿宋简体" w:eastAsia="仿宋_GB2312" w:cs="方正仿宋简体"/>
          <w:sz w:val="32"/>
          <w:szCs w:val="32"/>
        </w:rPr>
        <w:t>决算总支出为</w:t>
      </w:r>
      <w:r>
        <w:rPr>
          <w:rFonts w:hint="eastAsia" w:ascii="Times New Roman" w:hAnsi="Times New Roman" w:eastAsia="仿宋_GB2312" w:cs="Times New Roman"/>
          <w:sz w:val="32"/>
          <w:szCs w:val="32"/>
          <w:lang w:val="en-US" w:eastAsia="zh-CN"/>
        </w:rPr>
        <w:t>2398.93</w:t>
      </w:r>
      <w:r>
        <w:rPr>
          <w:rFonts w:hint="eastAsia" w:ascii="仿宋_GB2312" w:hAnsi="方正仿宋简体" w:eastAsia="仿宋_GB2312" w:cs="方正仿宋简体"/>
          <w:sz w:val="32"/>
          <w:szCs w:val="32"/>
        </w:rPr>
        <w:t>万元，</w:t>
      </w:r>
      <w:r>
        <w:rPr>
          <w:rFonts w:hint="eastAsia" w:ascii="仿宋_GB2312" w:hAnsi="方正仿宋简体" w:eastAsia="仿宋_GB2312" w:cs="方正仿宋简体"/>
          <w:sz w:val="32"/>
          <w:szCs w:val="32"/>
          <w:lang w:eastAsia="zh-CN"/>
        </w:rPr>
        <w:t>同比增加</w:t>
      </w:r>
      <w:r>
        <w:rPr>
          <w:rFonts w:hint="eastAsia" w:ascii="Times New Roman" w:hAnsi="Times New Roman" w:eastAsia="仿宋_GB2312" w:cs="Times New Roman"/>
          <w:sz w:val="32"/>
          <w:szCs w:val="32"/>
          <w:lang w:val="en-US" w:eastAsia="zh-CN"/>
        </w:rPr>
        <w:t>215.26</w:t>
      </w:r>
      <w:r>
        <w:rPr>
          <w:rFonts w:hint="eastAsia" w:ascii="仿宋_GB2312" w:hAnsi="方正仿宋简体" w:eastAsia="仿宋_GB2312" w:cs="方正仿宋简体"/>
          <w:sz w:val="32"/>
          <w:szCs w:val="32"/>
          <w:lang w:val="en-US" w:eastAsia="zh-CN"/>
        </w:rPr>
        <w:t>万元</w:t>
      </w:r>
      <w:r>
        <w:rPr>
          <w:rFonts w:hint="eastAsia" w:ascii="仿宋_GB2312" w:hAnsi="方正仿宋简体" w:eastAsia="仿宋_GB2312" w:cs="方正仿宋简体"/>
          <w:sz w:val="32"/>
          <w:szCs w:val="32"/>
        </w:rPr>
        <w:t>，增</w:t>
      </w:r>
      <w:r>
        <w:rPr>
          <w:rFonts w:hint="eastAsia" w:ascii="仿宋_GB2312" w:hAnsi="方正仿宋简体" w:eastAsia="仿宋_GB2312" w:cs="方正仿宋简体"/>
          <w:sz w:val="32"/>
          <w:szCs w:val="32"/>
          <w:lang w:eastAsia="zh-CN"/>
        </w:rPr>
        <w:t>长</w:t>
      </w:r>
      <w:r>
        <w:rPr>
          <w:rFonts w:hint="eastAsia" w:ascii="Times New Roman" w:hAnsi="Times New Roman" w:eastAsia="仿宋_GB2312" w:cs="Times New Roman"/>
          <w:sz w:val="32"/>
          <w:szCs w:val="32"/>
          <w:lang w:val="en-US" w:eastAsia="zh-CN"/>
        </w:rPr>
        <w:t>9.86%</w:t>
      </w:r>
      <w:r>
        <w:rPr>
          <w:rFonts w:hint="eastAsia" w:ascii="仿宋_GB2312" w:hAnsi="方正仿宋简体" w:eastAsia="仿宋_GB2312" w:cs="方正仿宋简体"/>
          <w:sz w:val="32"/>
          <w:szCs w:val="32"/>
        </w:rPr>
        <w:t>，主要原因是</w:t>
      </w:r>
      <w:r>
        <w:rPr>
          <w:rFonts w:hint="eastAsia" w:ascii="仿宋_GB2312" w:hAnsi="方正仿宋简体" w:eastAsia="仿宋_GB2312" w:cs="方正仿宋简体"/>
          <w:sz w:val="32"/>
          <w:szCs w:val="32"/>
          <w:lang w:eastAsia="zh-CN"/>
        </w:rPr>
        <w:t>中心工作任务</w:t>
      </w:r>
      <w:r>
        <w:rPr>
          <w:rFonts w:hint="eastAsia" w:ascii="仿宋_GB2312" w:hAnsi="方正仿宋简体" w:eastAsia="仿宋_GB2312" w:cs="方正仿宋简体"/>
          <w:sz w:val="32"/>
          <w:szCs w:val="32"/>
        </w:rPr>
        <w:t>增加。其中：</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default" w:ascii="仿宋_GB2312" w:hAnsi="方正仿宋简体" w:eastAsia="仿宋_GB2312" w:cs="方正仿宋简体"/>
          <w:sz w:val="32"/>
          <w:szCs w:val="32"/>
          <w:lang w:val="en-US" w:eastAsia="zh-CN"/>
        </w:rPr>
      </w:pPr>
      <w:r>
        <w:rPr>
          <w:rFonts w:hint="eastAsia" w:ascii="仿宋_GB2312" w:hAnsi="方正仿宋简体" w:eastAsia="仿宋_GB2312" w:cs="方正仿宋简体"/>
          <w:sz w:val="32"/>
          <w:szCs w:val="32"/>
          <w:lang w:eastAsia="zh-CN"/>
        </w:rPr>
        <w:t>人员经费</w:t>
      </w:r>
      <w:r>
        <w:rPr>
          <w:rFonts w:hint="eastAsia" w:ascii="Times New Roman" w:hAnsi="Times New Roman" w:eastAsia="仿宋_GB2312" w:cs="Times New Roman"/>
          <w:sz w:val="32"/>
          <w:szCs w:val="32"/>
          <w:lang w:val="en-US" w:eastAsia="zh-CN"/>
        </w:rPr>
        <w:t>2018.62</w:t>
      </w:r>
      <w:r>
        <w:rPr>
          <w:rFonts w:hint="eastAsia" w:ascii="仿宋_GB2312" w:hAnsi="方正仿宋简体" w:eastAsia="仿宋_GB2312" w:cs="方正仿宋简体"/>
          <w:sz w:val="32"/>
          <w:szCs w:val="32"/>
          <w:lang w:val="en-US" w:eastAsia="zh-CN"/>
        </w:rPr>
        <w:t>万元，同比增加</w:t>
      </w:r>
      <w:r>
        <w:rPr>
          <w:rFonts w:hint="eastAsia" w:ascii="Times New Roman" w:hAnsi="Times New Roman" w:eastAsia="仿宋_GB2312" w:cs="Times New Roman"/>
          <w:sz w:val="32"/>
          <w:szCs w:val="32"/>
          <w:lang w:val="en-US" w:eastAsia="zh-CN"/>
        </w:rPr>
        <w:t>86.56</w:t>
      </w:r>
      <w:r>
        <w:rPr>
          <w:rFonts w:hint="eastAsia" w:ascii="仿宋_GB2312" w:hAnsi="方正仿宋简体" w:eastAsia="仿宋_GB2312" w:cs="方正仿宋简体"/>
          <w:sz w:val="32"/>
          <w:szCs w:val="32"/>
          <w:lang w:val="en-US" w:eastAsia="zh-CN"/>
        </w:rPr>
        <w:t>万元，增长</w:t>
      </w:r>
      <w:r>
        <w:rPr>
          <w:rFonts w:hint="eastAsia" w:ascii="Times New Roman" w:hAnsi="Times New Roman" w:eastAsia="仿宋_GB2312" w:cs="Times New Roman"/>
          <w:sz w:val="32"/>
          <w:szCs w:val="32"/>
          <w:lang w:val="en-US" w:eastAsia="zh-CN"/>
        </w:rPr>
        <w:t>4.48%</w:t>
      </w:r>
      <w:r>
        <w:rPr>
          <w:rFonts w:hint="eastAsia" w:ascii="仿宋_GB2312" w:hAnsi="方正仿宋简体" w:eastAsia="仿宋_GB2312" w:cs="方正仿宋简体"/>
          <w:sz w:val="32"/>
          <w:szCs w:val="32"/>
          <w:lang w:val="en-US" w:eastAsia="zh-CN"/>
        </w:rPr>
        <w:t>；公用经费</w:t>
      </w:r>
      <w:r>
        <w:rPr>
          <w:rFonts w:hint="eastAsia" w:ascii="Times New Roman" w:hAnsi="Times New Roman" w:eastAsia="仿宋_GB2312" w:cs="Times New Roman"/>
          <w:sz w:val="32"/>
          <w:szCs w:val="32"/>
          <w:lang w:val="en-US" w:eastAsia="zh-CN"/>
        </w:rPr>
        <w:t>379.91</w:t>
      </w:r>
      <w:r>
        <w:rPr>
          <w:rFonts w:hint="eastAsia" w:ascii="仿宋_GB2312" w:hAnsi="方正仿宋简体" w:eastAsia="仿宋_GB2312" w:cs="方正仿宋简体"/>
          <w:sz w:val="32"/>
          <w:szCs w:val="32"/>
          <w:lang w:val="en-US" w:eastAsia="zh-CN"/>
        </w:rPr>
        <w:t>万元，同比增加</w:t>
      </w:r>
      <w:r>
        <w:rPr>
          <w:rFonts w:hint="eastAsia" w:ascii="Times New Roman" w:hAnsi="Times New Roman" w:eastAsia="仿宋_GB2312" w:cs="Times New Roman"/>
          <w:sz w:val="32"/>
          <w:szCs w:val="32"/>
          <w:lang w:val="en-US" w:eastAsia="zh-CN"/>
        </w:rPr>
        <w:t>128.31</w:t>
      </w:r>
      <w:r>
        <w:rPr>
          <w:rFonts w:hint="eastAsia" w:ascii="仿宋_GB2312" w:hAnsi="方正仿宋简体" w:eastAsia="仿宋_GB2312" w:cs="方正仿宋简体"/>
          <w:sz w:val="32"/>
          <w:szCs w:val="32"/>
          <w:lang w:val="en-US" w:eastAsia="zh-CN"/>
        </w:rPr>
        <w:t>万元，增长</w:t>
      </w:r>
      <w:r>
        <w:rPr>
          <w:rFonts w:hint="eastAsia" w:ascii="Times New Roman" w:hAnsi="Times New Roman" w:eastAsia="仿宋_GB2312" w:cs="Times New Roman"/>
          <w:sz w:val="32"/>
          <w:szCs w:val="32"/>
          <w:lang w:val="en-US" w:eastAsia="zh-CN"/>
        </w:rPr>
        <w:t>51.00%</w:t>
      </w:r>
      <w:r>
        <w:rPr>
          <w:rFonts w:hint="eastAsia" w:ascii="仿宋_GB2312" w:hAnsi="方正仿宋简体" w:eastAsia="仿宋_GB2312" w:cs="方正仿宋简体"/>
          <w:sz w:val="32"/>
          <w:szCs w:val="32"/>
          <w:lang w:val="en-US" w:eastAsia="zh-CN"/>
        </w:rPr>
        <w:t>。</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方正仿宋简体" w:eastAsia="仿宋_GB2312" w:cs="方正仿宋简体"/>
          <w:sz w:val="32"/>
          <w:szCs w:val="32"/>
          <w:lang w:val="en-US" w:eastAsia="zh-CN"/>
        </w:rPr>
      </w:pPr>
      <w:r>
        <w:rPr>
          <w:rFonts w:hint="eastAsia" w:ascii="Times New Roman" w:hAnsi="Times New Roman" w:eastAsia="仿宋_GB2312" w:cs="Times New Roman"/>
          <w:sz w:val="32"/>
          <w:szCs w:val="32"/>
          <w:lang w:val="en-US" w:eastAsia="zh-CN"/>
        </w:rPr>
        <w:t>2022</w:t>
      </w:r>
      <w:r>
        <w:rPr>
          <w:rFonts w:hint="eastAsia" w:ascii="仿宋_GB2312" w:hAnsi="方正仿宋简体" w:eastAsia="仿宋_GB2312" w:cs="方正仿宋简体"/>
          <w:sz w:val="32"/>
          <w:szCs w:val="32"/>
        </w:rPr>
        <w:t>年，本单位</w:t>
      </w:r>
      <w:r>
        <w:rPr>
          <w:rFonts w:hint="eastAsia" w:ascii="仿宋_GB2312" w:hAnsi="方正仿宋简体" w:eastAsia="仿宋_GB2312" w:cs="方正仿宋简体"/>
          <w:sz w:val="32"/>
          <w:szCs w:val="32"/>
          <w:lang w:eastAsia="zh-CN"/>
        </w:rPr>
        <w:t>基本支出结转</w:t>
      </w:r>
      <w:r>
        <w:rPr>
          <w:rFonts w:hint="eastAsia" w:ascii="Times New Roman" w:hAnsi="Times New Roman" w:eastAsia="仿宋_GB2312" w:cs="Times New Roman"/>
          <w:sz w:val="32"/>
          <w:szCs w:val="32"/>
          <w:lang w:val="en-US" w:eastAsia="zh-CN"/>
        </w:rPr>
        <w:t>0</w:t>
      </w:r>
      <w:r>
        <w:rPr>
          <w:rFonts w:hint="eastAsia" w:ascii="仿宋_GB2312" w:hAnsi="方正仿宋简体" w:eastAsia="仿宋_GB2312" w:cs="方正仿宋简体"/>
          <w:sz w:val="32"/>
          <w:szCs w:val="32"/>
          <w:lang w:val="en-US" w:eastAsia="zh-CN"/>
        </w:rPr>
        <w:t>元。</w:t>
      </w:r>
    </w:p>
    <w:p>
      <w:pPr>
        <w:pStyle w:val="2"/>
        <w:keepNext w:val="0"/>
        <w:keepLines w:val="0"/>
        <w:pageBreakBefore w:val="0"/>
        <w:widowControl w:val="0"/>
        <w:numPr>
          <w:ilvl w:val="0"/>
          <w:numId w:val="2"/>
        </w:numPr>
        <w:kinsoku/>
        <w:wordWrap/>
        <w:overflowPunct/>
        <w:topLinePunct w:val="0"/>
        <w:autoSpaceDN/>
        <w:bidi w:val="0"/>
        <w:adjustRightInd/>
        <w:snapToGrid/>
        <w:spacing w:before="0" w:beforeLines="0" w:after="0" w:afterLines="0" w:line="560" w:lineRule="exact"/>
        <w:ind w:firstLine="640" w:firstLineChars="200"/>
        <w:textAlignment w:val="auto"/>
        <w:rPr>
          <w:rFonts w:hint="eastAsia" w:ascii="仿宋_GB2312" w:hAnsi="方正仿宋简体" w:eastAsia="仿宋_GB2312" w:cs="方正仿宋简体"/>
          <w:b w:val="0"/>
          <w:bCs/>
          <w:sz w:val="32"/>
          <w:szCs w:val="32"/>
          <w:lang w:val="en-US" w:eastAsia="zh-CN"/>
        </w:rPr>
      </w:pPr>
      <w:r>
        <w:rPr>
          <w:rFonts w:hint="eastAsia" w:ascii="仿宋_GB2312" w:hAnsi="方正仿宋简体" w:eastAsia="仿宋_GB2312" w:cs="方正仿宋简体"/>
          <w:b w:val="0"/>
          <w:bCs/>
          <w:sz w:val="32"/>
          <w:szCs w:val="32"/>
          <w:lang w:val="en-US" w:eastAsia="zh-CN"/>
        </w:rPr>
        <w:t>本年“三公”经费预算情况</w:t>
      </w:r>
    </w:p>
    <w:p>
      <w:pPr>
        <w:keepNext w:val="0"/>
        <w:keepLines w:val="0"/>
        <w:pageBreakBefore w:val="0"/>
        <w:numPr>
          <w:ilvl w:val="0"/>
          <w:numId w:val="0"/>
        </w:numPr>
        <w:kinsoku/>
        <w:wordWrap/>
        <w:overflowPunct/>
        <w:topLinePunct w:val="0"/>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年“三公”经费预算支出</w:t>
      </w:r>
      <w:r>
        <w:rPr>
          <w:rFonts w:hint="eastAsia" w:ascii="Times New Roman" w:hAnsi="Times New Roman" w:eastAsia="仿宋_GB2312" w:cs="Times New Roman"/>
          <w:sz w:val="32"/>
          <w:szCs w:val="32"/>
          <w:lang w:val="en-US" w:eastAsia="zh-CN"/>
        </w:rPr>
        <w:t>16.65</w:t>
      </w:r>
      <w:r>
        <w:rPr>
          <w:rFonts w:hint="eastAsia" w:ascii="仿宋_GB2312" w:hAnsi="仿宋_GB2312" w:eastAsia="仿宋_GB2312" w:cs="仿宋_GB2312"/>
          <w:sz w:val="32"/>
          <w:szCs w:val="32"/>
          <w:lang w:val="en-US" w:eastAsia="zh-CN"/>
        </w:rPr>
        <w:t>万元，同比减少</w:t>
      </w:r>
      <w:r>
        <w:rPr>
          <w:rFonts w:hint="eastAsia" w:ascii="Times New Roman" w:hAnsi="Times New Roman" w:eastAsia="仿宋_GB2312" w:cs="Times New Roman"/>
          <w:sz w:val="32"/>
          <w:szCs w:val="32"/>
          <w:lang w:val="en-US" w:eastAsia="zh-CN"/>
        </w:rPr>
        <w:t>1.75</w:t>
      </w:r>
      <w:r>
        <w:rPr>
          <w:rFonts w:hint="eastAsia" w:ascii="仿宋_GB2312" w:hAnsi="仿宋_GB2312" w:eastAsia="仿宋_GB2312" w:cs="仿宋_GB2312"/>
          <w:sz w:val="32"/>
          <w:szCs w:val="32"/>
          <w:lang w:val="en-US" w:eastAsia="zh-CN"/>
        </w:rPr>
        <w:t>万元，下降</w:t>
      </w:r>
      <w:r>
        <w:rPr>
          <w:rFonts w:hint="eastAsia" w:ascii="Times New Roman" w:hAnsi="Times New Roman" w:eastAsia="仿宋_GB2312" w:cs="Times New Roman"/>
          <w:sz w:val="32"/>
          <w:szCs w:val="32"/>
          <w:lang w:val="en-US" w:eastAsia="zh-CN"/>
        </w:rPr>
        <w:t>9.51%</w:t>
      </w:r>
      <w:r>
        <w:rPr>
          <w:rFonts w:hint="eastAsia" w:ascii="仿宋_GB2312" w:hAnsi="仿宋_GB2312" w:eastAsia="仿宋_GB2312" w:cs="仿宋_GB2312"/>
          <w:sz w:val="32"/>
          <w:szCs w:val="32"/>
          <w:lang w:val="en-US" w:eastAsia="zh-CN"/>
        </w:rPr>
        <w:t>，其中：公务接待费</w:t>
      </w:r>
      <w:r>
        <w:rPr>
          <w:rFonts w:hint="eastAsia" w:ascii="Times New Roman" w:hAnsi="Times New Roman" w:eastAsia="仿宋_GB2312" w:cs="Times New Roman"/>
          <w:sz w:val="32"/>
          <w:szCs w:val="32"/>
          <w:lang w:val="en-US" w:eastAsia="zh-CN"/>
        </w:rPr>
        <w:t>10.45</w:t>
      </w:r>
      <w:r>
        <w:rPr>
          <w:rFonts w:hint="eastAsia" w:ascii="仿宋_GB2312" w:hAnsi="仿宋_GB2312" w:eastAsia="仿宋_GB2312" w:cs="仿宋_GB2312"/>
          <w:sz w:val="32"/>
          <w:szCs w:val="32"/>
          <w:lang w:val="en-US" w:eastAsia="zh-CN"/>
        </w:rPr>
        <w:t>万元，同比减少</w:t>
      </w:r>
      <w:r>
        <w:rPr>
          <w:rFonts w:hint="eastAsia" w:ascii="Times New Roman" w:hAnsi="Times New Roman" w:eastAsia="仿宋_GB2312" w:cs="Times New Roman"/>
          <w:sz w:val="32"/>
          <w:szCs w:val="32"/>
          <w:lang w:val="en-US" w:eastAsia="zh-CN"/>
        </w:rPr>
        <w:t>1.35</w:t>
      </w:r>
      <w:r>
        <w:rPr>
          <w:rFonts w:hint="eastAsia" w:ascii="仿宋_GB2312" w:hAnsi="仿宋_GB2312" w:eastAsia="仿宋_GB2312" w:cs="仿宋_GB2312"/>
          <w:sz w:val="32"/>
          <w:szCs w:val="32"/>
          <w:lang w:val="en-US" w:eastAsia="zh-CN"/>
        </w:rPr>
        <w:t>万元，下降</w:t>
      </w:r>
      <w:r>
        <w:rPr>
          <w:rFonts w:hint="eastAsia" w:ascii="Times New Roman" w:hAnsi="Times New Roman" w:eastAsia="仿宋_GB2312" w:cs="Times New Roman"/>
          <w:sz w:val="32"/>
          <w:szCs w:val="32"/>
          <w:lang w:val="en-US" w:eastAsia="zh-CN"/>
        </w:rPr>
        <w:t>11.44%</w:t>
      </w:r>
      <w:r>
        <w:rPr>
          <w:rFonts w:hint="eastAsia" w:ascii="仿宋_GB2312" w:hAnsi="仿宋_GB2312" w:eastAsia="仿宋_GB2312" w:cs="仿宋_GB2312"/>
          <w:sz w:val="32"/>
          <w:szCs w:val="32"/>
          <w:lang w:val="en-US" w:eastAsia="zh-CN"/>
        </w:rPr>
        <w:t>；公车运行维护费</w:t>
      </w:r>
      <w:r>
        <w:rPr>
          <w:rFonts w:hint="eastAsia" w:ascii="Times New Roman" w:hAnsi="Times New Roman" w:eastAsia="仿宋_GB2312" w:cs="Times New Roman"/>
          <w:sz w:val="32"/>
          <w:szCs w:val="32"/>
          <w:lang w:val="en-US" w:eastAsia="zh-CN"/>
        </w:rPr>
        <w:t>6.20</w:t>
      </w:r>
      <w:r>
        <w:rPr>
          <w:rFonts w:hint="eastAsia" w:ascii="仿宋_GB2312" w:hAnsi="仿宋_GB2312" w:eastAsia="仿宋_GB2312" w:cs="仿宋_GB2312"/>
          <w:sz w:val="32"/>
          <w:szCs w:val="32"/>
          <w:lang w:val="en-US" w:eastAsia="zh-CN"/>
        </w:rPr>
        <w:t>万元，同比减少</w:t>
      </w:r>
      <w:r>
        <w:rPr>
          <w:rFonts w:hint="eastAsia" w:ascii="Times New Roman" w:hAnsi="Times New Roman" w:eastAsia="仿宋_GB2312" w:cs="Times New Roman"/>
          <w:sz w:val="32"/>
          <w:szCs w:val="32"/>
          <w:lang w:val="en-US" w:eastAsia="zh-CN"/>
        </w:rPr>
        <w:t>0.4</w:t>
      </w:r>
      <w:r>
        <w:rPr>
          <w:rFonts w:hint="eastAsia" w:ascii="仿宋_GB2312" w:hAnsi="仿宋_GB2312" w:eastAsia="仿宋_GB2312" w:cs="仿宋_GB2312"/>
          <w:sz w:val="32"/>
          <w:szCs w:val="32"/>
          <w:lang w:val="en-US" w:eastAsia="zh-CN"/>
        </w:rPr>
        <w:t>万元，下降</w:t>
      </w:r>
      <w:r>
        <w:rPr>
          <w:rFonts w:hint="eastAsia" w:ascii="Times New Roman" w:hAnsi="Times New Roman" w:eastAsia="仿宋_GB2312" w:cs="Times New Roman"/>
          <w:sz w:val="32"/>
          <w:szCs w:val="32"/>
          <w:lang w:val="en-US" w:eastAsia="zh-CN"/>
        </w:rPr>
        <w:t>6.06%</w:t>
      </w:r>
      <w:r>
        <w:rPr>
          <w:rFonts w:hint="eastAsia" w:ascii="仿宋_GB2312" w:hAnsi="仿宋_GB2312" w:eastAsia="仿宋_GB2312" w:cs="仿宋_GB2312"/>
          <w:sz w:val="32"/>
          <w:szCs w:val="32"/>
          <w:lang w:val="en-US" w:eastAsia="zh-CN"/>
        </w:rPr>
        <w:t>。</w:t>
      </w:r>
    </w:p>
    <w:p>
      <w:pPr>
        <w:pStyle w:val="2"/>
        <w:keepNext w:val="0"/>
        <w:keepLines w:val="0"/>
        <w:pageBreakBefore w:val="0"/>
        <w:numPr>
          <w:ilvl w:val="0"/>
          <w:numId w:val="2"/>
        </w:numPr>
        <w:kinsoku/>
        <w:wordWrap/>
        <w:overflowPunct/>
        <w:topLinePunct w:val="0"/>
        <w:autoSpaceDN/>
        <w:bidi w:val="0"/>
        <w:adjustRightInd/>
        <w:spacing w:before="0" w:beforeLines="0" w:after="0" w:afterLines="0"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“三公”经费预算执行情况</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_GB2312" w:hAnsi="方正仿宋简体" w:eastAsia="仿宋_GB2312" w:cs="方正仿宋简体"/>
          <w:bCs/>
          <w:sz w:val="32"/>
          <w:szCs w:val="32"/>
        </w:rPr>
      </w:pPr>
      <w:r>
        <w:rPr>
          <w:rFonts w:hint="eastAsia" w:ascii="Times New Roman" w:hAnsi="Times New Roman" w:eastAsia="仿宋_GB2312" w:cs="Times New Roman"/>
          <w:sz w:val="32"/>
          <w:szCs w:val="32"/>
          <w:lang w:val="en-US" w:eastAsia="zh-CN"/>
        </w:rPr>
        <w:t>2022</w:t>
      </w:r>
      <w:r>
        <w:rPr>
          <w:rFonts w:hint="eastAsia" w:ascii="仿宋_GB2312" w:hAnsi="方正仿宋简体" w:eastAsia="仿宋_GB2312" w:cs="方正仿宋简体"/>
          <w:bCs/>
          <w:sz w:val="32"/>
          <w:szCs w:val="32"/>
        </w:rPr>
        <w:t>年，我单位“三公</w:t>
      </w:r>
      <w:r>
        <w:rPr>
          <w:rFonts w:hint="eastAsia" w:ascii="仿宋_GB2312" w:hAnsi="方正仿宋简体" w:eastAsia="仿宋_GB2312" w:cs="方正仿宋简体"/>
          <w:bCs/>
          <w:sz w:val="32"/>
          <w:szCs w:val="32"/>
          <w:lang w:eastAsia="zh-CN"/>
        </w:rPr>
        <w:t>”</w:t>
      </w:r>
      <w:r>
        <w:rPr>
          <w:rFonts w:hint="eastAsia" w:ascii="仿宋_GB2312" w:hAnsi="方正仿宋简体" w:eastAsia="仿宋_GB2312" w:cs="方正仿宋简体"/>
          <w:bCs/>
          <w:sz w:val="32"/>
          <w:szCs w:val="32"/>
        </w:rPr>
        <w:t>经费决算</w:t>
      </w:r>
      <w:r>
        <w:rPr>
          <w:rFonts w:hint="eastAsia" w:ascii="仿宋_GB2312" w:hAnsi="方正仿宋简体" w:eastAsia="仿宋_GB2312" w:cs="方正仿宋简体"/>
          <w:bCs/>
          <w:sz w:val="32"/>
          <w:szCs w:val="32"/>
          <w:lang w:eastAsia="zh-CN"/>
        </w:rPr>
        <w:t>支出</w:t>
      </w:r>
      <w:r>
        <w:rPr>
          <w:rFonts w:hint="eastAsia" w:ascii="Times New Roman" w:hAnsi="Times New Roman" w:eastAsia="仿宋_GB2312" w:cs="Times New Roman"/>
          <w:sz w:val="32"/>
          <w:szCs w:val="32"/>
          <w:lang w:val="en-US" w:eastAsia="zh-CN"/>
        </w:rPr>
        <w:t>16.65</w:t>
      </w:r>
      <w:r>
        <w:rPr>
          <w:rFonts w:hint="eastAsia" w:ascii="仿宋_GB2312" w:hAnsi="方正仿宋简体" w:eastAsia="仿宋_GB2312" w:cs="方正仿宋简体"/>
          <w:bCs/>
          <w:sz w:val="32"/>
          <w:szCs w:val="32"/>
          <w:lang w:val="en-US" w:eastAsia="zh-CN"/>
        </w:rPr>
        <w:t>万元</w:t>
      </w:r>
      <w:r>
        <w:rPr>
          <w:rFonts w:hint="eastAsia" w:ascii="仿宋_GB2312" w:hAnsi="方正仿宋简体" w:eastAsia="仿宋_GB2312" w:cs="方正仿宋简体"/>
          <w:bCs/>
          <w:sz w:val="32"/>
          <w:szCs w:val="32"/>
        </w:rPr>
        <w:t>，</w:t>
      </w:r>
      <w:r>
        <w:rPr>
          <w:rFonts w:hint="eastAsia" w:ascii="仿宋_GB2312" w:hAnsi="方正仿宋简体" w:eastAsia="仿宋_GB2312" w:cs="方正仿宋简体"/>
          <w:bCs/>
          <w:sz w:val="32"/>
          <w:szCs w:val="32"/>
          <w:lang w:eastAsia="zh-CN"/>
        </w:rPr>
        <w:t>同比减少</w:t>
      </w:r>
      <w:r>
        <w:rPr>
          <w:rFonts w:hint="eastAsia" w:ascii="Times New Roman" w:hAnsi="Times New Roman" w:eastAsia="仿宋_GB2312" w:cs="Times New Roman"/>
          <w:sz w:val="32"/>
          <w:szCs w:val="32"/>
          <w:lang w:val="en-US" w:eastAsia="zh-CN"/>
        </w:rPr>
        <w:t>1.75</w:t>
      </w:r>
      <w:r>
        <w:rPr>
          <w:rFonts w:hint="eastAsia" w:ascii="仿宋_GB2312" w:hAnsi="方正仿宋简体" w:eastAsia="仿宋_GB2312" w:cs="方正仿宋简体"/>
          <w:bCs/>
          <w:sz w:val="32"/>
          <w:szCs w:val="32"/>
          <w:lang w:val="en-US" w:eastAsia="zh-CN"/>
        </w:rPr>
        <w:t>万元，下降</w:t>
      </w:r>
      <w:r>
        <w:rPr>
          <w:rFonts w:hint="eastAsia" w:ascii="Times New Roman" w:hAnsi="Times New Roman" w:eastAsia="仿宋_GB2312" w:cs="Times New Roman"/>
          <w:sz w:val="32"/>
          <w:szCs w:val="32"/>
          <w:lang w:val="en-US" w:eastAsia="zh-CN"/>
        </w:rPr>
        <w:t>9.51%</w:t>
      </w:r>
      <w:r>
        <w:rPr>
          <w:rFonts w:hint="eastAsia" w:ascii="仿宋_GB2312" w:hAnsi="方正仿宋简体" w:eastAsia="仿宋_GB2312" w:cs="方正仿宋简体"/>
          <w:bCs/>
          <w:sz w:val="32"/>
          <w:szCs w:val="32"/>
          <w:lang w:val="en-US" w:eastAsia="zh-CN"/>
        </w:rPr>
        <w:t>，</w:t>
      </w:r>
      <w:r>
        <w:rPr>
          <w:rFonts w:hint="eastAsia" w:ascii="仿宋_GB2312" w:hAnsi="仿宋_GB2312" w:eastAsia="仿宋_GB2312" w:cs="仿宋_GB2312"/>
          <w:sz w:val="32"/>
          <w:szCs w:val="32"/>
          <w:lang w:val="en-US" w:eastAsia="zh-CN"/>
        </w:rPr>
        <w:t>其中：</w:t>
      </w:r>
      <w:r>
        <w:rPr>
          <w:rFonts w:hint="eastAsia" w:ascii="仿宋_GB2312" w:hAnsi="方正仿宋简体" w:eastAsia="仿宋_GB2312" w:cs="方正仿宋简体"/>
          <w:bCs/>
          <w:sz w:val="32"/>
          <w:szCs w:val="32"/>
        </w:rPr>
        <w:t>因公出国（境）费完成</w:t>
      </w:r>
      <w:r>
        <w:rPr>
          <w:rFonts w:hint="eastAsia" w:ascii="Times New Roman" w:hAnsi="Times New Roman" w:eastAsia="仿宋_GB2312" w:cs="Times New Roman"/>
          <w:sz w:val="32"/>
          <w:szCs w:val="32"/>
          <w:lang w:val="en-US" w:eastAsia="zh-CN"/>
        </w:rPr>
        <w:t>0</w:t>
      </w:r>
      <w:r>
        <w:rPr>
          <w:rFonts w:hint="eastAsia" w:ascii="仿宋_GB2312" w:hAnsi="方正仿宋简体" w:eastAsia="仿宋_GB2312" w:cs="方正仿宋简体"/>
          <w:bCs/>
          <w:sz w:val="32"/>
          <w:szCs w:val="32"/>
        </w:rPr>
        <w:t>元，</w:t>
      </w:r>
      <w:r>
        <w:rPr>
          <w:rFonts w:hint="eastAsia" w:ascii="仿宋_GB2312" w:hAnsi="方正仿宋简体" w:eastAsia="仿宋_GB2312" w:cs="方正仿宋简体"/>
          <w:bCs/>
          <w:sz w:val="32"/>
          <w:szCs w:val="32"/>
          <w:lang w:eastAsia="zh-CN"/>
        </w:rPr>
        <w:t>同比</w:t>
      </w:r>
      <w:r>
        <w:rPr>
          <w:rFonts w:hint="eastAsia" w:ascii="仿宋_GB2312" w:hAnsi="方正仿宋简体" w:eastAsia="仿宋_GB2312" w:cs="方正仿宋简体"/>
          <w:bCs/>
          <w:sz w:val="32"/>
          <w:szCs w:val="32"/>
        </w:rPr>
        <w:t>增</w:t>
      </w:r>
      <w:r>
        <w:rPr>
          <w:rFonts w:hint="eastAsia" w:ascii="仿宋_GB2312" w:hAnsi="方正仿宋简体" w:eastAsia="仿宋_GB2312" w:cs="方正仿宋简体"/>
          <w:bCs/>
          <w:sz w:val="32"/>
          <w:szCs w:val="32"/>
          <w:lang w:eastAsia="zh-CN"/>
        </w:rPr>
        <w:t>加</w:t>
      </w:r>
      <w:r>
        <w:rPr>
          <w:rFonts w:hint="eastAsia" w:ascii="Times New Roman" w:hAnsi="Times New Roman" w:eastAsia="仿宋_GB2312" w:cs="Times New Roman"/>
          <w:sz w:val="32"/>
          <w:szCs w:val="32"/>
          <w:lang w:val="en-US" w:eastAsia="zh-CN"/>
        </w:rPr>
        <w:t>0</w:t>
      </w:r>
      <w:r>
        <w:rPr>
          <w:rFonts w:hint="eastAsia" w:ascii="仿宋_GB2312" w:hAnsi="方正仿宋简体" w:eastAsia="仿宋_GB2312" w:cs="方正仿宋简体"/>
          <w:bCs/>
          <w:sz w:val="32"/>
          <w:szCs w:val="32"/>
        </w:rPr>
        <w:t>元，增加</w:t>
      </w:r>
      <w:r>
        <w:rPr>
          <w:rFonts w:hint="eastAsia" w:ascii="Times New Roman" w:hAnsi="Times New Roman" w:eastAsia="仿宋_GB2312" w:cs="Times New Roman"/>
          <w:sz w:val="32"/>
          <w:szCs w:val="32"/>
          <w:lang w:val="en-US" w:eastAsia="zh-CN"/>
        </w:rPr>
        <w:t>0%</w:t>
      </w:r>
      <w:r>
        <w:rPr>
          <w:rFonts w:hint="eastAsia" w:ascii="仿宋_GB2312" w:hAnsi="方正仿宋简体" w:eastAsia="仿宋_GB2312" w:cs="方正仿宋简体"/>
          <w:bCs/>
          <w:sz w:val="32"/>
          <w:szCs w:val="32"/>
        </w:rPr>
        <w:t>；公务接待费完成</w:t>
      </w:r>
      <w:r>
        <w:rPr>
          <w:rFonts w:hint="eastAsia" w:ascii="Times New Roman" w:hAnsi="Times New Roman" w:eastAsia="仿宋_GB2312" w:cs="Times New Roman"/>
          <w:sz w:val="32"/>
          <w:szCs w:val="32"/>
          <w:lang w:val="en-US" w:eastAsia="zh-CN"/>
        </w:rPr>
        <w:t>10.45</w:t>
      </w:r>
      <w:r>
        <w:rPr>
          <w:rFonts w:hint="eastAsia" w:ascii="仿宋_GB2312" w:hAnsi="方正仿宋简体" w:eastAsia="仿宋_GB2312" w:cs="方正仿宋简体"/>
          <w:bCs/>
          <w:sz w:val="32"/>
          <w:szCs w:val="32"/>
        </w:rPr>
        <w:t>万元，</w:t>
      </w:r>
      <w:r>
        <w:rPr>
          <w:rFonts w:hint="eastAsia" w:ascii="Times New Roman" w:hAnsi="Times New Roman" w:eastAsia="仿宋_GB2312" w:cs="Times New Roman"/>
          <w:sz w:val="32"/>
          <w:szCs w:val="32"/>
          <w:lang w:val="en-US" w:eastAsia="zh-CN"/>
        </w:rPr>
        <w:t>1.35</w:t>
      </w:r>
      <w:r>
        <w:rPr>
          <w:rFonts w:hint="eastAsia" w:ascii="仿宋_GB2312" w:hAnsi="仿宋_GB2312" w:eastAsia="仿宋_GB2312" w:cs="仿宋_GB2312"/>
          <w:sz w:val="32"/>
          <w:szCs w:val="32"/>
          <w:lang w:val="en-US" w:eastAsia="zh-CN"/>
        </w:rPr>
        <w:t>万元，下降</w:t>
      </w:r>
      <w:r>
        <w:rPr>
          <w:rFonts w:hint="eastAsia" w:ascii="Times New Roman" w:hAnsi="Times New Roman" w:eastAsia="仿宋_GB2312" w:cs="Times New Roman"/>
          <w:sz w:val="32"/>
          <w:szCs w:val="32"/>
          <w:lang w:val="en-US" w:eastAsia="zh-CN"/>
        </w:rPr>
        <w:t>11.44%</w:t>
      </w:r>
      <w:r>
        <w:rPr>
          <w:rFonts w:hint="eastAsia" w:ascii="仿宋_GB2312" w:hAnsi="方正仿宋简体" w:eastAsia="仿宋_GB2312" w:cs="方正仿宋简体"/>
          <w:bCs/>
          <w:sz w:val="32"/>
          <w:szCs w:val="32"/>
        </w:rPr>
        <w:t>；公务用车购置及运行维护费完成</w:t>
      </w:r>
      <w:r>
        <w:rPr>
          <w:rFonts w:hint="eastAsia" w:ascii="Times New Roman" w:hAnsi="Times New Roman" w:eastAsia="仿宋_GB2312" w:cs="Times New Roman"/>
          <w:sz w:val="32"/>
          <w:szCs w:val="32"/>
          <w:lang w:val="en-US" w:eastAsia="zh-CN"/>
        </w:rPr>
        <w:t>6.20</w:t>
      </w:r>
      <w:r>
        <w:rPr>
          <w:rFonts w:hint="eastAsia" w:ascii="仿宋_GB2312" w:hAnsi="方正仿宋简体" w:eastAsia="仿宋_GB2312" w:cs="方正仿宋简体"/>
          <w:bCs/>
          <w:sz w:val="32"/>
          <w:szCs w:val="32"/>
        </w:rPr>
        <w:t>万元，</w:t>
      </w:r>
      <w:r>
        <w:rPr>
          <w:rFonts w:hint="eastAsia" w:ascii="仿宋_GB2312" w:hAnsi="仿宋_GB2312" w:eastAsia="仿宋_GB2312" w:cs="仿宋_GB2312"/>
          <w:sz w:val="32"/>
          <w:szCs w:val="32"/>
          <w:lang w:val="en-US" w:eastAsia="zh-CN"/>
        </w:rPr>
        <w:t>同比减少</w:t>
      </w:r>
      <w:r>
        <w:rPr>
          <w:rFonts w:hint="eastAsia" w:ascii="Times New Roman" w:hAnsi="Times New Roman" w:eastAsia="仿宋_GB2312" w:cs="Times New Roman"/>
          <w:sz w:val="32"/>
          <w:szCs w:val="32"/>
          <w:lang w:val="en-US" w:eastAsia="zh-CN"/>
        </w:rPr>
        <w:t>0.4</w:t>
      </w:r>
      <w:r>
        <w:rPr>
          <w:rFonts w:hint="eastAsia" w:ascii="仿宋_GB2312" w:hAnsi="仿宋_GB2312" w:eastAsia="仿宋_GB2312" w:cs="仿宋_GB2312"/>
          <w:sz w:val="32"/>
          <w:szCs w:val="32"/>
          <w:lang w:val="en-US" w:eastAsia="zh-CN"/>
        </w:rPr>
        <w:t>万元，下降</w:t>
      </w:r>
      <w:r>
        <w:rPr>
          <w:rFonts w:hint="eastAsia" w:ascii="Times New Roman" w:hAnsi="Times New Roman" w:eastAsia="仿宋_GB2312" w:cs="Times New Roman"/>
          <w:sz w:val="32"/>
          <w:szCs w:val="32"/>
          <w:lang w:val="en-US" w:eastAsia="zh-CN"/>
        </w:rPr>
        <w:t>6.06%</w:t>
      </w:r>
      <w:r>
        <w:rPr>
          <w:rFonts w:hint="eastAsia" w:ascii="仿宋_GB2312" w:hAnsi="方正仿宋简体" w:eastAsia="仿宋_GB2312" w:cs="方正仿宋简体"/>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方正仿宋简体" w:eastAsia="仿宋_GB2312" w:cs="方正仿宋简体"/>
          <w:bCs/>
          <w:sz w:val="32"/>
          <w:szCs w:val="32"/>
        </w:rPr>
      </w:pPr>
      <w:r>
        <w:rPr>
          <w:rFonts w:hint="eastAsia" w:ascii="仿宋_GB2312" w:hAnsi="方正仿宋简体" w:eastAsia="仿宋_GB2312" w:cs="方正仿宋简体"/>
          <w:bCs/>
          <w:sz w:val="32"/>
          <w:szCs w:val="32"/>
        </w:rPr>
        <w:t xml:space="preserve">  8、与上年比较“三公经费”控制情况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方正仿宋简体" w:eastAsia="仿宋_GB2312" w:cs="方正仿宋简体"/>
          <w:bCs/>
          <w:sz w:val="32"/>
          <w:szCs w:val="32"/>
        </w:rPr>
      </w:pPr>
      <w:r>
        <w:rPr>
          <w:rFonts w:hint="eastAsia" w:ascii="仿宋_GB2312" w:hAnsi="方正仿宋简体" w:eastAsia="仿宋_GB2312" w:cs="方正仿宋简体"/>
          <w:bCs/>
          <w:sz w:val="32"/>
          <w:szCs w:val="32"/>
        </w:rPr>
        <w:t xml:space="preserve"> </w:t>
      </w:r>
      <w:r>
        <w:rPr>
          <w:rFonts w:hint="eastAsia" w:ascii="Times New Roman" w:hAnsi="Times New Roman" w:eastAsia="仿宋_GB2312" w:cs="Times New Roman"/>
          <w:sz w:val="32"/>
          <w:szCs w:val="32"/>
          <w:lang w:val="en-US" w:eastAsia="zh-CN"/>
        </w:rPr>
        <w:t>2022</w:t>
      </w:r>
      <w:r>
        <w:rPr>
          <w:rFonts w:hint="eastAsia" w:ascii="仿宋_GB2312" w:hAnsi="方正仿宋简体" w:eastAsia="仿宋_GB2312" w:cs="方正仿宋简体"/>
          <w:bCs/>
          <w:sz w:val="32"/>
          <w:szCs w:val="32"/>
        </w:rPr>
        <w:t>年度“三公</w:t>
      </w:r>
      <w:r>
        <w:rPr>
          <w:rFonts w:hint="eastAsia" w:ascii="仿宋_GB2312" w:hAnsi="方正仿宋简体" w:eastAsia="仿宋_GB2312" w:cs="方正仿宋简体"/>
          <w:bCs/>
          <w:sz w:val="32"/>
          <w:szCs w:val="32"/>
          <w:lang w:eastAsia="zh-CN"/>
        </w:rPr>
        <w:t>”</w:t>
      </w:r>
      <w:r>
        <w:rPr>
          <w:rFonts w:hint="eastAsia" w:ascii="仿宋_GB2312" w:hAnsi="方正仿宋简体" w:eastAsia="仿宋_GB2312" w:cs="方正仿宋简体"/>
          <w:bCs/>
          <w:sz w:val="32"/>
          <w:szCs w:val="32"/>
        </w:rPr>
        <w:t>经费</w:t>
      </w:r>
      <w:r>
        <w:rPr>
          <w:rFonts w:hint="eastAsia" w:ascii="仿宋_GB2312" w:hAnsi="方正仿宋简体" w:eastAsia="仿宋_GB2312" w:cs="方正仿宋简体"/>
          <w:bCs/>
          <w:sz w:val="32"/>
          <w:szCs w:val="32"/>
          <w:lang w:eastAsia="zh-CN"/>
        </w:rPr>
        <w:t>同比减少</w:t>
      </w:r>
      <w:r>
        <w:rPr>
          <w:rFonts w:hint="eastAsia" w:ascii="Times New Roman" w:hAnsi="Times New Roman" w:eastAsia="仿宋_GB2312" w:cs="Times New Roman"/>
          <w:sz w:val="32"/>
          <w:szCs w:val="32"/>
          <w:lang w:val="en-US" w:eastAsia="zh-CN"/>
        </w:rPr>
        <w:t>1.75</w:t>
      </w:r>
      <w:r>
        <w:rPr>
          <w:rFonts w:hint="eastAsia" w:ascii="仿宋_GB2312" w:hAnsi="方正仿宋简体" w:eastAsia="仿宋_GB2312" w:cs="方正仿宋简体"/>
          <w:bCs/>
          <w:sz w:val="32"/>
          <w:szCs w:val="32"/>
          <w:lang w:val="en-US" w:eastAsia="zh-CN"/>
        </w:rPr>
        <w:t>万元，下降</w:t>
      </w:r>
      <w:r>
        <w:rPr>
          <w:rFonts w:hint="eastAsia" w:ascii="Times New Roman" w:hAnsi="Times New Roman" w:eastAsia="仿宋_GB2312" w:cs="Times New Roman"/>
          <w:sz w:val="32"/>
          <w:szCs w:val="32"/>
          <w:lang w:val="en-US" w:eastAsia="zh-CN"/>
        </w:rPr>
        <w:t>9.51%</w:t>
      </w:r>
      <w:r>
        <w:rPr>
          <w:rFonts w:hint="eastAsia" w:ascii="仿宋_GB2312" w:hAnsi="方正仿宋简体" w:eastAsia="仿宋_GB2312" w:cs="方正仿宋简体"/>
          <w:bCs/>
          <w:sz w:val="32"/>
          <w:szCs w:val="32"/>
        </w:rPr>
        <w:t>。</w:t>
      </w:r>
      <w:r>
        <w:rPr>
          <w:rFonts w:hint="eastAsia" w:ascii="仿宋_GB2312" w:hAnsi="仿宋_GB2312" w:eastAsia="仿宋_GB2312" w:cs="仿宋_GB2312"/>
          <w:sz w:val="32"/>
          <w:szCs w:val="32"/>
          <w:lang w:val="en-US" w:eastAsia="zh-CN"/>
        </w:rPr>
        <w:t>其中：</w:t>
      </w:r>
      <w:r>
        <w:rPr>
          <w:rFonts w:hint="eastAsia" w:ascii="仿宋_GB2312" w:hAnsi="方正仿宋简体" w:eastAsia="仿宋_GB2312" w:cs="方正仿宋简体"/>
          <w:bCs/>
          <w:sz w:val="32"/>
          <w:szCs w:val="32"/>
        </w:rPr>
        <w:t>因公出国（境）费完成</w:t>
      </w:r>
      <w:r>
        <w:rPr>
          <w:rFonts w:hint="eastAsia" w:ascii="Times New Roman" w:hAnsi="Times New Roman" w:eastAsia="仿宋_GB2312" w:cs="Times New Roman"/>
          <w:sz w:val="32"/>
          <w:szCs w:val="32"/>
          <w:lang w:val="en-US" w:eastAsia="zh-CN"/>
        </w:rPr>
        <w:t>0</w:t>
      </w:r>
      <w:r>
        <w:rPr>
          <w:rFonts w:hint="eastAsia" w:ascii="仿宋_GB2312" w:hAnsi="方正仿宋简体" w:eastAsia="仿宋_GB2312" w:cs="方正仿宋简体"/>
          <w:bCs/>
          <w:sz w:val="32"/>
          <w:szCs w:val="32"/>
        </w:rPr>
        <w:t>元，</w:t>
      </w:r>
      <w:r>
        <w:rPr>
          <w:rFonts w:hint="eastAsia" w:ascii="仿宋_GB2312" w:hAnsi="方正仿宋简体" w:eastAsia="仿宋_GB2312" w:cs="方正仿宋简体"/>
          <w:bCs/>
          <w:sz w:val="32"/>
          <w:szCs w:val="32"/>
          <w:lang w:eastAsia="zh-CN"/>
        </w:rPr>
        <w:t>同比</w:t>
      </w:r>
      <w:r>
        <w:rPr>
          <w:rFonts w:hint="eastAsia" w:ascii="仿宋_GB2312" w:hAnsi="方正仿宋简体" w:eastAsia="仿宋_GB2312" w:cs="方正仿宋简体"/>
          <w:bCs/>
          <w:sz w:val="32"/>
          <w:szCs w:val="32"/>
        </w:rPr>
        <w:t>增</w:t>
      </w:r>
      <w:r>
        <w:rPr>
          <w:rFonts w:hint="eastAsia" w:ascii="仿宋_GB2312" w:hAnsi="方正仿宋简体" w:eastAsia="仿宋_GB2312" w:cs="方正仿宋简体"/>
          <w:bCs/>
          <w:sz w:val="32"/>
          <w:szCs w:val="32"/>
          <w:lang w:eastAsia="zh-CN"/>
        </w:rPr>
        <w:t>加</w:t>
      </w:r>
      <w:r>
        <w:rPr>
          <w:rFonts w:hint="eastAsia" w:ascii="Times New Roman" w:hAnsi="Times New Roman" w:eastAsia="仿宋_GB2312" w:cs="Times New Roman"/>
          <w:sz w:val="32"/>
          <w:szCs w:val="32"/>
          <w:lang w:val="en-US" w:eastAsia="zh-CN"/>
        </w:rPr>
        <w:t>0</w:t>
      </w:r>
      <w:r>
        <w:rPr>
          <w:rFonts w:hint="eastAsia" w:ascii="仿宋_GB2312" w:hAnsi="方正仿宋简体" w:eastAsia="仿宋_GB2312" w:cs="方正仿宋简体"/>
          <w:bCs/>
          <w:sz w:val="32"/>
          <w:szCs w:val="32"/>
        </w:rPr>
        <w:t>元，增加</w:t>
      </w:r>
      <w:r>
        <w:rPr>
          <w:rFonts w:hint="eastAsia" w:ascii="Times New Roman" w:hAnsi="Times New Roman" w:eastAsia="仿宋_GB2312" w:cs="Times New Roman"/>
          <w:sz w:val="32"/>
          <w:szCs w:val="32"/>
          <w:lang w:val="en-US" w:eastAsia="zh-CN"/>
        </w:rPr>
        <w:t>0%</w:t>
      </w:r>
      <w:r>
        <w:rPr>
          <w:rFonts w:hint="eastAsia" w:ascii="仿宋_GB2312" w:hAnsi="方正仿宋简体" w:eastAsia="仿宋_GB2312" w:cs="方正仿宋简体"/>
          <w:bCs/>
          <w:sz w:val="32"/>
          <w:szCs w:val="32"/>
        </w:rPr>
        <w:t>；公务接待费完成</w:t>
      </w:r>
      <w:r>
        <w:rPr>
          <w:rFonts w:hint="eastAsia" w:ascii="Times New Roman" w:hAnsi="Times New Roman" w:eastAsia="仿宋_GB2312" w:cs="Times New Roman"/>
          <w:sz w:val="32"/>
          <w:szCs w:val="32"/>
          <w:lang w:val="en-US" w:eastAsia="zh-CN"/>
        </w:rPr>
        <w:t>10.45</w:t>
      </w:r>
      <w:r>
        <w:rPr>
          <w:rFonts w:hint="eastAsia" w:ascii="仿宋_GB2312" w:hAnsi="方正仿宋简体" w:eastAsia="仿宋_GB2312" w:cs="方正仿宋简体"/>
          <w:bCs/>
          <w:sz w:val="32"/>
          <w:szCs w:val="32"/>
        </w:rPr>
        <w:t>万元，</w:t>
      </w:r>
      <w:r>
        <w:rPr>
          <w:rFonts w:hint="eastAsia" w:ascii="Times New Roman" w:hAnsi="Times New Roman" w:eastAsia="仿宋_GB2312" w:cs="Times New Roman"/>
          <w:sz w:val="32"/>
          <w:szCs w:val="32"/>
          <w:lang w:val="en-US" w:eastAsia="zh-CN"/>
        </w:rPr>
        <w:t>1.35</w:t>
      </w:r>
      <w:r>
        <w:rPr>
          <w:rFonts w:hint="eastAsia" w:ascii="仿宋_GB2312" w:hAnsi="仿宋_GB2312" w:eastAsia="仿宋_GB2312" w:cs="仿宋_GB2312"/>
          <w:sz w:val="32"/>
          <w:szCs w:val="32"/>
          <w:lang w:val="en-US" w:eastAsia="zh-CN"/>
        </w:rPr>
        <w:t>万元，下降</w:t>
      </w:r>
      <w:r>
        <w:rPr>
          <w:rFonts w:hint="eastAsia" w:ascii="Times New Roman" w:hAnsi="Times New Roman" w:eastAsia="仿宋_GB2312" w:cs="Times New Roman"/>
          <w:sz w:val="32"/>
          <w:szCs w:val="32"/>
          <w:lang w:val="en-US" w:eastAsia="zh-CN"/>
        </w:rPr>
        <w:t>11.44%</w:t>
      </w:r>
      <w:r>
        <w:rPr>
          <w:rFonts w:hint="eastAsia" w:ascii="仿宋_GB2312" w:hAnsi="方正仿宋简体" w:eastAsia="仿宋_GB2312" w:cs="方正仿宋简体"/>
          <w:bCs/>
          <w:sz w:val="32"/>
          <w:szCs w:val="32"/>
        </w:rPr>
        <w:t>；公务用车购置及运行维护费完成</w:t>
      </w:r>
      <w:r>
        <w:rPr>
          <w:rFonts w:hint="eastAsia" w:ascii="Times New Roman" w:hAnsi="Times New Roman" w:eastAsia="仿宋_GB2312" w:cs="Times New Roman"/>
          <w:sz w:val="32"/>
          <w:szCs w:val="32"/>
          <w:lang w:val="en-US" w:eastAsia="zh-CN"/>
        </w:rPr>
        <w:t>6.20</w:t>
      </w:r>
      <w:r>
        <w:rPr>
          <w:rFonts w:hint="eastAsia" w:ascii="仿宋_GB2312" w:hAnsi="方正仿宋简体" w:eastAsia="仿宋_GB2312" w:cs="方正仿宋简体"/>
          <w:bCs/>
          <w:sz w:val="32"/>
          <w:szCs w:val="32"/>
        </w:rPr>
        <w:t>万元，</w:t>
      </w:r>
      <w:r>
        <w:rPr>
          <w:rFonts w:hint="eastAsia" w:ascii="仿宋_GB2312" w:hAnsi="仿宋_GB2312" w:eastAsia="仿宋_GB2312" w:cs="仿宋_GB2312"/>
          <w:sz w:val="32"/>
          <w:szCs w:val="32"/>
          <w:lang w:val="en-US" w:eastAsia="zh-CN"/>
        </w:rPr>
        <w:t>同比减少</w:t>
      </w:r>
      <w:r>
        <w:rPr>
          <w:rFonts w:hint="eastAsia" w:ascii="Times New Roman" w:hAnsi="Times New Roman" w:eastAsia="仿宋_GB2312" w:cs="Times New Roman"/>
          <w:sz w:val="32"/>
          <w:szCs w:val="32"/>
          <w:lang w:val="en-US" w:eastAsia="zh-CN"/>
        </w:rPr>
        <w:t>0.4</w:t>
      </w:r>
      <w:r>
        <w:rPr>
          <w:rFonts w:hint="eastAsia" w:ascii="仿宋_GB2312" w:hAnsi="仿宋_GB2312" w:eastAsia="仿宋_GB2312" w:cs="仿宋_GB2312"/>
          <w:sz w:val="32"/>
          <w:szCs w:val="32"/>
          <w:lang w:val="en-US" w:eastAsia="zh-CN"/>
        </w:rPr>
        <w:t>万元，下降</w:t>
      </w:r>
      <w:r>
        <w:rPr>
          <w:rFonts w:hint="eastAsia" w:ascii="Times New Roman" w:hAnsi="Times New Roman" w:eastAsia="仿宋_GB2312" w:cs="Times New Roman"/>
          <w:sz w:val="32"/>
          <w:szCs w:val="32"/>
          <w:lang w:val="en-US" w:eastAsia="zh-CN"/>
        </w:rPr>
        <w:t>6.06%</w:t>
      </w:r>
      <w:r>
        <w:rPr>
          <w:rFonts w:hint="eastAsia" w:ascii="仿宋_GB2312" w:hAnsi="方正仿宋简体" w:eastAsia="仿宋_GB2312" w:cs="方正仿宋简体"/>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4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专项支出的管理和使用情况</w:t>
      </w:r>
    </w:p>
    <w:p>
      <w:pPr>
        <w:pStyle w:val="2"/>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_GB2312" w:hAnsi="方正仿宋简体" w:eastAsia="仿宋_GB2312" w:cs="方正仿宋简体"/>
          <w:b w:val="0"/>
          <w:bCs/>
          <w:caps w:val="0"/>
          <w:kern w:val="2"/>
          <w:sz w:val="32"/>
          <w:szCs w:val="32"/>
          <w:lang w:val="en-US" w:eastAsia="zh-CN" w:bidi="ar-SA"/>
        </w:rPr>
      </w:pPr>
      <w:r>
        <w:rPr>
          <w:rFonts w:hint="eastAsia" w:ascii="仿宋_GB2312" w:hAnsi="方正仿宋简体" w:eastAsia="仿宋_GB2312" w:cs="方正仿宋简体"/>
          <w:b w:val="0"/>
          <w:bCs/>
          <w:caps w:val="0"/>
          <w:kern w:val="2"/>
          <w:sz w:val="32"/>
          <w:szCs w:val="32"/>
          <w:lang w:val="en-US" w:eastAsia="zh-CN" w:bidi="ar-SA"/>
        </w:rPr>
        <w:t>专项资金（包括财政资金、自筹资金等）安排落实，总投入等情况分析</w:t>
      </w:r>
    </w:p>
    <w:p>
      <w:pPr>
        <w:keepNext w:val="0"/>
        <w:keepLines w:val="0"/>
        <w:pageBreakBefore w:val="0"/>
        <w:numPr>
          <w:ilvl w:val="0"/>
          <w:numId w:val="0"/>
        </w:numPr>
        <w:kinsoku/>
        <w:wordWrap/>
        <w:overflowPunct/>
        <w:topLinePunct w:val="0"/>
        <w:autoSpaceDN/>
        <w:bidi w:val="0"/>
        <w:adjustRightInd/>
        <w:spacing w:line="560" w:lineRule="exact"/>
        <w:ind w:firstLine="640" w:firstLineChars="200"/>
        <w:textAlignment w:val="auto"/>
        <w:rPr>
          <w:rFonts w:hint="eastAsia" w:ascii="仿宋_GB2312" w:hAnsi="å®‹ä½“" w:eastAsia="仿宋_GB2312" w:cs="仿宋_GB2312"/>
          <w:color w:val="333333"/>
          <w:sz w:val="31"/>
          <w:szCs w:val="31"/>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default" w:ascii="仿宋_GB2312" w:hAnsi="å®‹ä½“" w:eastAsia="仿宋_GB2312" w:cs="仿宋_GB2312"/>
          <w:color w:val="333333"/>
          <w:sz w:val="31"/>
          <w:szCs w:val="31"/>
        </w:rPr>
        <w:t>年度项目支出</w:t>
      </w:r>
      <w:r>
        <w:rPr>
          <w:rFonts w:hint="eastAsia" w:ascii="Times New Roman" w:hAnsi="Times New Roman" w:eastAsia="仿宋_GB2312" w:cs="Times New Roman"/>
          <w:sz w:val="32"/>
          <w:szCs w:val="32"/>
          <w:lang w:val="en-US" w:eastAsia="zh-CN"/>
        </w:rPr>
        <w:t>44291.54</w:t>
      </w:r>
      <w:r>
        <w:rPr>
          <w:rFonts w:hint="default" w:ascii="仿宋_GB2312" w:hAnsi="å®‹ä½“" w:eastAsia="仿宋_GB2312" w:cs="仿宋_GB2312"/>
          <w:color w:val="333333"/>
          <w:sz w:val="31"/>
          <w:szCs w:val="31"/>
        </w:rPr>
        <w:t>万元，</w:t>
      </w:r>
      <w:r>
        <w:rPr>
          <w:rFonts w:hint="eastAsia" w:ascii="仿宋_GB2312" w:hAnsi="å®‹ä½“" w:eastAsia="仿宋_GB2312" w:cs="仿宋_GB2312"/>
          <w:color w:val="333333"/>
          <w:sz w:val="31"/>
          <w:szCs w:val="31"/>
          <w:lang w:eastAsia="zh-CN"/>
        </w:rPr>
        <w:t>其中：财政拨款</w:t>
      </w:r>
      <w:r>
        <w:rPr>
          <w:rFonts w:hint="eastAsia" w:ascii="Times New Roman" w:hAnsi="Times New Roman" w:eastAsia="仿宋_GB2312" w:cs="Times New Roman"/>
          <w:sz w:val="32"/>
          <w:szCs w:val="32"/>
          <w:lang w:val="en-US" w:eastAsia="zh-CN"/>
        </w:rPr>
        <w:t>5005.48</w:t>
      </w:r>
      <w:r>
        <w:rPr>
          <w:rFonts w:hint="eastAsia" w:ascii="仿宋_GB2312" w:hAnsi="å®‹ä½“" w:eastAsia="仿宋_GB2312" w:cs="仿宋_GB2312"/>
          <w:color w:val="333333"/>
          <w:sz w:val="31"/>
          <w:szCs w:val="31"/>
          <w:lang w:val="en-US" w:eastAsia="zh-CN"/>
        </w:rPr>
        <w:t>万元，其他资金</w:t>
      </w:r>
      <w:r>
        <w:rPr>
          <w:rFonts w:hint="eastAsia" w:ascii="Times New Roman" w:hAnsi="Times New Roman" w:eastAsia="仿宋_GB2312" w:cs="Times New Roman"/>
          <w:sz w:val="32"/>
          <w:szCs w:val="32"/>
          <w:lang w:val="en-US" w:eastAsia="zh-CN"/>
        </w:rPr>
        <w:t>39286.06</w:t>
      </w:r>
      <w:r>
        <w:rPr>
          <w:rFonts w:hint="eastAsia" w:ascii="仿宋_GB2312" w:hAnsi="å®‹ä½“" w:eastAsia="仿宋_GB2312" w:cs="仿宋_GB2312"/>
          <w:color w:val="333333"/>
          <w:sz w:val="31"/>
          <w:szCs w:val="31"/>
          <w:lang w:val="en-US" w:eastAsia="zh-CN"/>
        </w:rPr>
        <w:t>万元。</w:t>
      </w:r>
    </w:p>
    <w:p>
      <w:pPr>
        <w:pStyle w:val="2"/>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60" w:lineRule="exact"/>
        <w:ind w:left="0" w:leftChars="0" w:firstLine="640" w:firstLineChars="200"/>
        <w:jc w:val="left"/>
        <w:textAlignment w:val="auto"/>
        <w:rPr>
          <w:rFonts w:hint="eastAsia" w:ascii="仿宋_GB2312" w:hAnsi="方正仿宋简体" w:eastAsia="仿宋_GB2312" w:cs="方正仿宋简体"/>
          <w:b w:val="0"/>
          <w:bCs/>
          <w:caps w:val="0"/>
          <w:kern w:val="2"/>
          <w:sz w:val="32"/>
          <w:szCs w:val="32"/>
          <w:lang w:val="en-US" w:eastAsia="zh-CN" w:bidi="ar-SA"/>
        </w:rPr>
      </w:pPr>
      <w:r>
        <w:rPr>
          <w:rFonts w:hint="eastAsia" w:ascii="仿宋_GB2312" w:hAnsi="方正仿宋简体" w:eastAsia="仿宋_GB2312" w:cs="方正仿宋简体"/>
          <w:b w:val="0"/>
          <w:bCs/>
          <w:caps w:val="0"/>
          <w:kern w:val="2"/>
          <w:sz w:val="32"/>
          <w:szCs w:val="32"/>
          <w:lang w:val="en-US" w:eastAsia="zh-CN" w:bidi="ar-SA"/>
        </w:rPr>
        <w:t>专项资金（主要指财政资金）实际使用情况分析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Times New Roman" w:hAnsi="Times New Roman" w:eastAsia="仿宋_GB2312" w:cs="Times New Roman"/>
          <w:sz w:val="32"/>
          <w:szCs w:val="32"/>
          <w:lang w:val="en-US" w:eastAsia="zh-CN"/>
        </w:rPr>
        <w:t>2022</w:t>
      </w:r>
      <w:r>
        <w:rPr>
          <w:rFonts w:hint="eastAsia" w:ascii="仿宋_GB2312" w:hAnsi="方正仿宋简体" w:eastAsia="仿宋_GB2312" w:cs="方正仿宋简体"/>
          <w:sz w:val="32"/>
          <w:szCs w:val="32"/>
          <w:lang w:val="en-US" w:eastAsia="zh-CN"/>
        </w:rPr>
        <w:t>年度</w:t>
      </w:r>
      <w:r>
        <w:rPr>
          <w:rFonts w:hint="eastAsia" w:ascii="仿宋_GB2312" w:hAnsi="方正仿宋简体" w:eastAsia="仿宋_GB2312" w:cs="方正仿宋简体"/>
          <w:sz w:val="32"/>
          <w:szCs w:val="32"/>
        </w:rPr>
        <w:t>专项支出决算数为</w:t>
      </w:r>
      <w:r>
        <w:rPr>
          <w:rFonts w:hint="eastAsia" w:ascii="Times New Roman" w:hAnsi="Times New Roman" w:eastAsia="仿宋_GB2312" w:cs="Times New Roman"/>
          <w:sz w:val="32"/>
          <w:szCs w:val="32"/>
          <w:lang w:val="en-US" w:eastAsia="zh-CN"/>
        </w:rPr>
        <w:t>44291.54</w:t>
      </w:r>
      <w:r>
        <w:rPr>
          <w:rFonts w:hint="eastAsia" w:ascii="仿宋_GB2312" w:hAnsi="方正仿宋简体" w:eastAsia="仿宋_GB2312" w:cs="方正仿宋简体"/>
          <w:sz w:val="32"/>
          <w:szCs w:val="32"/>
        </w:rPr>
        <w:t>万元，</w:t>
      </w:r>
      <w:r>
        <w:rPr>
          <w:rFonts w:hint="eastAsia" w:ascii="仿宋_GB2312" w:hAnsi="方正仿宋简体" w:eastAsia="仿宋_GB2312" w:cs="方正仿宋简体"/>
          <w:sz w:val="32"/>
          <w:szCs w:val="32"/>
          <w:lang w:val="zh-CN"/>
        </w:rPr>
        <w:t>主要用于以下方面：</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一般公共服务支出</w:t>
      </w:r>
      <w:r>
        <w:rPr>
          <w:rFonts w:hint="eastAsia" w:ascii="Times New Roman" w:hAnsi="Times New Roman" w:eastAsia="仿宋_GB2312" w:cs="Times New Roman"/>
          <w:sz w:val="32"/>
          <w:szCs w:val="32"/>
          <w:lang w:val="en-US" w:eastAsia="zh-CN"/>
        </w:rPr>
        <w:t>1164.38</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2.63%</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；国防支出</w:t>
      </w:r>
      <w:r>
        <w:rPr>
          <w:rFonts w:hint="eastAsia" w:ascii="Times New Roman" w:hAnsi="Times New Roman" w:eastAsia="仿宋_GB2312" w:cs="Times New Roman"/>
          <w:sz w:val="32"/>
          <w:szCs w:val="32"/>
          <w:lang w:val="en-US" w:eastAsia="zh-CN"/>
        </w:rPr>
        <w:t>110.10</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0.25%</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；公共安全支出</w:t>
      </w:r>
      <w:r>
        <w:rPr>
          <w:rFonts w:hint="eastAsia" w:ascii="Times New Roman" w:hAnsi="Times New Roman" w:eastAsia="仿宋_GB2312" w:cs="Times New Roman"/>
          <w:sz w:val="32"/>
          <w:szCs w:val="32"/>
          <w:lang w:val="en-US" w:eastAsia="zh-CN"/>
        </w:rPr>
        <w:t>34.36</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0.08%</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；教育支出</w:t>
      </w:r>
      <w:r>
        <w:rPr>
          <w:rFonts w:hint="eastAsia" w:ascii="Times New Roman" w:hAnsi="Times New Roman" w:eastAsia="仿宋_GB2312" w:cs="Times New Roman"/>
          <w:sz w:val="32"/>
          <w:szCs w:val="32"/>
          <w:lang w:val="en-US" w:eastAsia="zh-CN"/>
        </w:rPr>
        <w:t>86.55</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0.20%</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；科学技术支出</w:t>
      </w:r>
      <w:r>
        <w:rPr>
          <w:rFonts w:hint="eastAsia" w:ascii="Times New Roman" w:hAnsi="Times New Roman" w:eastAsia="仿宋_GB2312" w:cs="Times New Roman"/>
          <w:sz w:val="32"/>
          <w:szCs w:val="32"/>
          <w:lang w:val="en-US" w:eastAsia="zh-CN"/>
        </w:rPr>
        <w:t>19.60</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0.05%</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；文化旅游体育与传媒支出</w:t>
      </w:r>
      <w:r>
        <w:rPr>
          <w:rFonts w:hint="eastAsia" w:ascii="Times New Roman" w:hAnsi="Times New Roman" w:eastAsia="仿宋_GB2312" w:cs="Times New Roman"/>
          <w:sz w:val="32"/>
          <w:szCs w:val="32"/>
          <w:lang w:val="en-US" w:eastAsia="zh-CN"/>
        </w:rPr>
        <w:t>54.14</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0.13%</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；社会保障和就业支出</w:t>
      </w:r>
      <w:r>
        <w:rPr>
          <w:rFonts w:hint="eastAsia" w:ascii="Times New Roman" w:hAnsi="Times New Roman" w:eastAsia="仿宋_GB2312" w:cs="Times New Roman"/>
          <w:sz w:val="32"/>
          <w:szCs w:val="32"/>
          <w:lang w:val="en-US" w:eastAsia="zh-CN"/>
        </w:rPr>
        <w:t>1524.30</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3.45%</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；卫生健康支出</w:t>
      </w:r>
      <w:r>
        <w:rPr>
          <w:rFonts w:hint="eastAsia" w:ascii="Times New Roman" w:hAnsi="Times New Roman" w:eastAsia="仿宋_GB2312" w:cs="Times New Roman"/>
          <w:sz w:val="32"/>
          <w:szCs w:val="32"/>
          <w:lang w:val="en-US" w:eastAsia="zh-CN"/>
        </w:rPr>
        <w:t>113.81</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0.26%</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；节能环保支出</w:t>
      </w:r>
      <w:r>
        <w:rPr>
          <w:rFonts w:hint="eastAsia" w:ascii="Times New Roman" w:hAnsi="Times New Roman" w:eastAsia="仿宋_GB2312" w:cs="Times New Roman"/>
          <w:sz w:val="32"/>
          <w:szCs w:val="32"/>
          <w:lang w:val="en-US" w:eastAsia="zh-CN"/>
        </w:rPr>
        <w:t>432.54</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0.98%</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；城乡社区支出</w:t>
      </w:r>
      <w:r>
        <w:rPr>
          <w:rFonts w:hint="eastAsia" w:ascii="Times New Roman" w:hAnsi="Times New Roman" w:eastAsia="仿宋_GB2312" w:cs="Times New Roman"/>
          <w:sz w:val="32"/>
          <w:szCs w:val="32"/>
          <w:lang w:val="en-US" w:eastAsia="zh-CN"/>
        </w:rPr>
        <w:t>37505.40</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84.68%</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；农林水支出</w:t>
      </w:r>
      <w:r>
        <w:rPr>
          <w:rFonts w:hint="eastAsia" w:ascii="Times New Roman" w:hAnsi="Times New Roman" w:eastAsia="仿宋_GB2312" w:cs="Times New Roman"/>
          <w:sz w:val="32"/>
          <w:szCs w:val="32"/>
          <w:lang w:val="en-US" w:eastAsia="zh-CN"/>
        </w:rPr>
        <w:t>2426.55</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5.48%</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；交通运输支出</w:t>
      </w:r>
      <w:r>
        <w:rPr>
          <w:rFonts w:hint="eastAsia" w:ascii="Times New Roman" w:hAnsi="Times New Roman" w:eastAsia="仿宋_GB2312" w:cs="Times New Roman"/>
          <w:sz w:val="32"/>
          <w:szCs w:val="32"/>
          <w:lang w:val="en-US" w:eastAsia="zh-CN"/>
        </w:rPr>
        <w:t>39.00</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0.09%</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；自然资源海洋气象等支出</w:t>
      </w:r>
      <w:r>
        <w:rPr>
          <w:rFonts w:hint="eastAsia" w:ascii="Times New Roman" w:hAnsi="Times New Roman" w:eastAsia="仿宋_GB2312" w:cs="Times New Roman"/>
          <w:sz w:val="32"/>
          <w:szCs w:val="32"/>
          <w:lang w:val="en-US" w:eastAsia="zh-CN"/>
        </w:rPr>
        <w:t>64.00</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0.15%</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万元；粮油物资储备支出</w:t>
      </w:r>
      <w:r>
        <w:rPr>
          <w:rFonts w:hint="eastAsia" w:ascii="Times New Roman" w:hAnsi="Times New Roman" w:eastAsia="仿宋_GB2312" w:cs="Times New Roman"/>
          <w:sz w:val="32"/>
          <w:szCs w:val="32"/>
          <w:lang w:val="en-US" w:eastAsia="zh-CN"/>
        </w:rPr>
        <w:t>157.57</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0.36%</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；国有资本经营预算支出</w:t>
      </w:r>
      <w:r>
        <w:rPr>
          <w:rFonts w:hint="eastAsia" w:ascii="Times New Roman" w:hAnsi="Times New Roman" w:eastAsia="仿宋_GB2312" w:cs="Times New Roman"/>
          <w:sz w:val="32"/>
          <w:szCs w:val="32"/>
          <w:lang w:val="en-US" w:eastAsia="zh-CN"/>
        </w:rPr>
        <w:t>55.81</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0.13%</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；灾害防治及应急管理支出</w:t>
      </w:r>
      <w:r>
        <w:rPr>
          <w:rFonts w:hint="eastAsia" w:ascii="Times New Roman" w:hAnsi="Times New Roman" w:eastAsia="仿宋_GB2312" w:cs="Times New Roman"/>
          <w:sz w:val="32"/>
          <w:szCs w:val="32"/>
          <w:lang w:val="en-US" w:eastAsia="zh-CN"/>
        </w:rPr>
        <w:t>17.00</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0.04%</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；其他支出</w:t>
      </w:r>
      <w:r>
        <w:rPr>
          <w:rFonts w:hint="eastAsia" w:ascii="Times New Roman" w:hAnsi="Times New Roman" w:eastAsia="仿宋_GB2312" w:cs="Times New Roman"/>
          <w:sz w:val="32"/>
          <w:szCs w:val="32"/>
          <w:lang w:val="en-US" w:eastAsia="zh-CN"/>
        </w:rPr>
        <w:t>486.41</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万元，占</w:t>
      </w:r>
      <w:r>
        <w:rPr>
          <w:rFonts w:hint="eastAsia" w:ascii="Times New Roman" w:hAnsi="Times New Roman" w:eastAsia="仿宋_GB2312" w:cs="Times New Roman"/>
          <w:sz w:val="32"/>
          <w:szCs w:val="32"/>
          <w:lang w:val="en-US" w:eastAsia="zh-CN"/>
        </w:rPr>
        <w:t>1.10%</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w:t>
      </w:r>
    </w:p>
    <w:p>
      <w:pPr>
        <w:pStyle w:val="2"/>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60" w:lineRule="exact"/>
        <w:ind w:left="0" w:leftChars="0" w:firstLine="640" w:firstLineChars="200"/>
        <w:jc w:val="left"/>
        <w:textAlignment w:val="auto"/>
        <w:rPr>
          <w:rFonts w:hint="eastAsia" w:ascii="仿宋_GB2312" w:hAnsi="方正仿宋简体" w:eastAsia="仿宋_GB2312" w:cs="方正仿宋简体"/>
          <w:b w:val="0"/>
          <w:bCs/>
          <w:caps w:val="0"/>
          <w:kern w:val="2"/>
          <w:sz w:val="32"/>
          <w:szCs w:val="32"/>
          <w:lang w:val="en-US" w:eastAsia="zh-CN" w:bidi="ar-SA"/>
        </w:rPr>
      </w:pPr>
      <w:r>
        <w:rPr>
          <w:rFonts w:hint="eastAsia" w:ascii="仿宋_GB2312" w:hAnsi="方正仿宋简体" w:eastAsia="仿宋_GB2312" w:cs="方正仿宋简体"/>
          <w:b w:val="0"/>
          <w:bCs/>
          <w:caps w:val="0"/>
          <w:kern w:val="2"/>
          <w:sz w:val="32"/>
          <w:szCs w:val="32"/>
          <w:lang w:val="en-US" w:eastAsia="zh-CN" w:bidi="ar-SA"/>
        </w:rPr>
        <w:t>专项资金管理情况分析</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仿宋_GB2312" w:hAnsi="仿宋" w:eastAsia="仿宋_GB2312" w:cs="仿宋"/>
          <w:kern w:val="2"/>
          <w:sz w:val="32"/>
          <w:szCs w:val="32"/>
        </w:rPr>
      </w:pPr>
      <w:r>
        <w:rPr>
          <w:rFonts w:hint="eastAsia" w:ascii="仿宋_GB2312" w:hAnsi="方正仿宋简体" w:eastAsia="仿宋_GB2312" w:cs="方正仿宋简体"/>
          <w:kern w:val="2"/>
          <w:sz w:val="32"/>
          <w:szCs w:val="32"/>
        </w:rPr>
        <w:t>专项资金实行“专人管理、专户储存、专账核算、专项使用”。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严格专项资金初审、审核、审核制度，不准缺项和越程序办理手续，各类专项资金审批程序，以该专项资金审批表所列内容和文件要求为准。对专项资金要定期或不定期进行督查，确保项目资金专款专用，要全程参与项目验收和采购项目接交。</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hint="eastAsia" w:ascii="仿宋_GB2312" w:hAnsi="方正楷体简体" w:eastAsia="仿宋_GB2312" w:cs="方正楷体简体"/>
          <w:b/>
          <w:bCs/>
          <w:sz w:val="32"/>
          <w:szCs w:val="32"/>
        </w:rPr>
      </w:pPr>
      <w:r>
        <w:rPr>
          <w:rFonts w:hint="eastAsia" w:ascii="仿宋_GB2312" w:hAnsi="方正楷体简体" w:eastAsia="仿宋_GB2312" w:cs="方正楷体简体"/>
          <w:b/>
          <w:bCs/>
          <w:sz w:val="32"/>
          <w:szCs w:val="32"/>
        </w:rPr>
        <w:t xml:space="preserve">三、单位专项组织实施情况 </w:t>
      </w:r>
    </w:p>
    <w:p>
      <w:pPr>
        <w:keepNext w:val="0"/>
        <w:keepLines w:val="0"/>
        <w:pageBreakBefore w:val="0"/>
        <w:kinsoku/>
        <w:wordWrap/>
        <w:overflowPunct/>
        <w:topLinePunct w:val="0"/>
        <w:autoSpaceDN/>
        <w:bidi w:val="0"/>
        <w:adjustRightIn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（一）专项组织情况分析</w:t>
      </w:r>
    </w:p>
    <w:p>
      <w:pPr>
        <w:keepNext w:val="0"/>
        <w:keepLines w:val="0"/>
        <w:pageBreakBefore w:val="0"/>
        <w:widowControl/>
        <w:kinsoku/>
        <w:wordWrap/>
        <w:overflowPunct/>
        <w:topLinePunct w:val="0"/>
        <w:autoSpaceDN/>
        <w:bidi w:val="0"/>
        <w:adjustRightInd/>
        <w:spacing w:line="560" w:lineRule="exact"/>
        <w:ind w:firstLine="640" w:firstLineChars="200"/>
        <w:contextualSpacing/>
        <w:jc w:val="left"/>
        <w:textAlignment w:val="auto"/>
        <w:rPr>
          <w:rFonts w:hint="eastAsia" w:ascii="仿宋_GB2312" w:hAnsi="仿宋" w:eastAsia="仿宋_GB2312" w:cs="仿宋"/>
          <w:color w:val="000000"/>
          <w:kern w:val="0"/>
          <w:sz w:val="32"/>
          <w:szCs w:val="32"/>
        </w:rPr>
      </w:pPr>
      <w:r>
        <w:rPr>
          <w:rFonts w:hint="eastAsia" w:ascii="仿宋_GB2312" w:hAnsi="方正仿宋简体" w:eastAsia="仿宋_GB2312" w:cs="方正仿宋简体"/>
          <w:color w:val="000000"/>
          <w:kern w:val="0"/>
          <w:sz w:val="32"/>
          <w:szCs w:val="32"/>
          <w:shd w:val="clear" w:color="auto" w:fill="FFFFFF"/>
        </w:rPr>
        <w:t>专项组织情况方面。</w:t>
      </w:r>
      <w:r>
        <w:rPr>
          <w:rFonts w:hint="eastAsia" w:ascii="仿宋_GB2312" w:hAnsi="方正仿宋简体" w:eastAsia="仿宋_GB2312" w:cs="方正仿宋简体"/>
          <w:color w:val="000000"/>
          <w:kern w:val="0"/>
          <w:sz w:val="32"/>
          <w:szCs w:val="32"/>
        </w:rPr>
        <w:t>我单位加强专项项目组织管理，严格落实财务管理制度。</w:t>
      </w:r>
      <w:r>
        <w:rPr>
          <w:rFonts w:hint="eastAsia" w:ascii="仿宋_GB2312" w:hAnsi="仿宋" w:eastAsia="仿宋_GB2312" w:cs="仿宋"/>
          <w:color w:val="000000"/>
          <w:kern w:val="0"/>
          <w:sz w:val="32"/>
          <w:szCs w:val="32"/>
        </w:rPr>
        <w:t xml:space="preserve"> </w:t>
      </w:r>
    </w:p>
    <w:p>
      <w:pPr>
        <w:keepNext w:val="0"/>
        <w:keepLines w:val="0"/>
        <w:pageBreakBefore w:val="0"/>
        <w:kinsoku/>
        <w:wordWrap/>
        <w:overflowPunct/>
        <w:topLinePunct w:val="0"/>
        <w:autoSpaceDN/>
        <w:bidi w:val="0"/>
        <w:adjustRightIn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（二）专项资金管理情况分析</w:t>
      </w:r>
    </w:p>
    <w:p>
      <w:pPr>
        <w:keepNext w:val="0"/>
        <w:keepLines w:val="0"/>
        <w:pageBreakBefore w:val="0"/>
        <w:numPr>
          <w:ilvl w:val="0"/>
          <w:numId w:val="0"/>
        </w:numPr>
        <w:kinsoku/>
        <w:wordWrap/>
        <w:overflowPunct/>
        <w:topLinePunct w:val="0"/>
        <w:autoSpaceDN/>
        <w:bidi w:val="0"/>
        <w:adjustRightInd/>
        <w:spacing w:line="560" w:lineRule="exact"/>
        <w:ind w:leftChars="200" w:firstLine="640" w:firstLineChars="200"/>
        <w:textAlignment w:val="auto"/>
        <w:rPr>
          <w:rFonts w:hint="eastAsia" w:ascii="仿宋_GB2312" w:hAnsi="仿宋" w:eastAsia="仿宋_GB2312" w:cs="仿宋"/>
          <w:color w:val="000000"/>
          <w:kern w:val="0"/>
          <w:sz w:val="36"/>
          <w:szCs w:val="36"/>
        </w:rPr>
      </w:pPr>
      <w:r>
        <w:rPr>
          <w:rFonts w:hint="eastAsia" w:ascii="仿宋_GB2312" w:hAnsi="方正仿宋简体" w:eastAsia="仿宋_GB2312" w:cs="方正仿宋简体"/>
          <w:color w:val="000000"/>
          <w:kern w:val="0"/>
          <w:sz w:val="32"/>
          <w:szCs w:val="32"/>
          <w:shd w:val="clear" w:color="auto" w:fill="FFFFFF"/>
        </w:rPr>
        <w:t>专项管理情况方面。一</w:t>
      </w:r>
      <w:r>
        <w:rPr>
          <w:rFonts w:hint="eastAsia" w:ascii="仿宋_GB2312" w:hAnsi="方正仿宋简体" w:eastAsia="仿宋_GB2312" w:cs="方正仿宋简体"/>
          <w:color w:val="000000"/>
          <w:kern w:val="0"/>
          <w:sz w:val="32"/>
          <w:szCs w:val="32"/>
        </w:rPr>
        <w:t>是严格执行项目预、结算审核制度。二是严格按照既定的项目实施方案，及时完善项目管理制度，认真开展财务决算工作，充分发挥资金的使用效益。</w:t>
      </w:r>
      <w:r>
        <w:rPr>
          <w:rFonts w:hint="eastAsia" w:ascii="仿宋_GB2312" w:hAnsi="仿宋" w:eastAsia="仿宋_GB2312" w:cs="仿宋"/>
          <w:color w:val="000000"/>
          <w:kern w:val="0"/>
          <w:sz w:val="36"/>
          <w:szCs w:val="36"/>
        </w:rPr>
        <w:t xml:space="preserve"> </w:t>
      </w:r>
    </w:p>
    <w:p>
      <w:pPr>
        <w:keepNext w:val="0"/>
        <w:keepLines w:val="0"/>
        <w:pageBreakBefore w:val="0"/>
        <w:widowControl/>
        <w:kinsoku/>
        <w:wordWrap/>
        <w:overflowPunct/>
        <w:topLinePunct w:val="0"/>
        <w:autoSpaceDE/>
        <w:autoSpaceDN/>
        <w:bidi w:val="0"/>
        <w:adjustRightInd/>
        <w:snapToGrid/>
        <w:spacing w:beforeAutospacing="0" w:line="640" w:lineRule="exact"/>
        <w:ind w:firstLine="720" w:firstLineChars="200"/>
        <w:jc w:val="left"/>
        <w:textAlignment w:val="auto"/>
        <w:rPr>
          <w:rFonts w:hint="eastAsia" w:ascii="仿宋_GB2312" w:hAnsi="仿宋_GB2312" w:eastAsia="仿宋_GB2312" w:cs="仿宋_GB2312"/>
          <w:b/>
          <w:bCs/>
          <w:color w:val="000000"/>
          <w:kern w:val="0"/>
          <w:sz w:val="32"/>
          <w:szCs w:val="32"/>
        </w:rPr>
      </w:pPr>
      <w:r>
        <w:rPr>
          <w:rFonts w:hint="eastAsia" w:ascii="仿宋_GB2312" w:hAnsi="仿宋" w:eastAsia="仿宋_GB2312" w:cs="仿宋"/>
          <w:color w:val="000000"/>
          <w:kern w:val="0"/>
          <w:sz w:val="36"/>
          <w:szCs w:val="36"/>
          <w:lang w:val="en-US" w:eastAsia="zh-CN"/>
        </w:rPr>
        <w:t xml:space="preserve"> </w:t>
      </w:r>
      <w:r>
        <w:rPr>
          <w:rFonts w:hint="eastAsia" w:ascii="仿宋_GB2312" w:hAnsi="仿宋_GB2312" w:eastAsia="仿宋_GB2312" w:cs="仿宋_GB2312"/>
          <w:b/>
          <w:bCs/>
          <w:color w:val="000000"/>
          <w:kern w:val="0"/>
          <w:sz w:val="32"/>
          <w:szCs w:val="32"/>
        </w:rPr>
        <w:t xml:space="preserve">四、存在的问题 </w:t>
      </w:r>
    </w:p>
    <w:p>
      <w:pPr>
        <w:keepNext w:val="0"/>
        <w:keepLines w:val="0"/>
        <w:pageBreakBefore w:val="0"/>
        <w:widowControl/>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财政收入规模单一，收入结构不合理，社会事业发展所需财政支出压力大，收支矛盾还比较突出，财政管理还不很规范，财经纪律还有待进一步加强。街道工作人员项目管理能力有限，专业水平较低，专业技术知识有待提高，管理经验不足。资金使用效益有待进一步提高，绩效目标设立不够明确、细化和量化，实际工作完成效益不高。上级主管部门指导作用发挥不够，各工作部门之间，缺乏有效沟通与配合，统一组织协调工作有待加强。</w:t>
      </w:r>
    </w:p>
    <w:p>
      <w:pPr>
        <w:keepNext w:val="0"/>
        <w:keepLines w:val="0"/>
        <w:pageBreakBefore w:val="0"/>
        <w:widowControl/>
        <w:kinsoku/>
        <w:wordWrap/>
        <w:overflowPunct/>
        <w:topLinePunct w:val="0"/>
        <w:autoSpaceDE/>
        <w:autoSpaceDN/>
        <w:bidi w:val="0"/>
        <w:adjustRightInd/>
        <w:snapToGrid/>
        <w:spacing w:beforeAutospacing="0" w:line="640" w:lineRule="exact"/>
        <w:ind w:firstLine="643" w:firstLineChars="200"/>
        <w:jc w:val="lef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五、改进措施及有关建议</w:t>
      </w:r>
    </w:p>
    <w:p>
      <w:pPr>
        <w:keepNext w:val="0"/>
        <w:keepLines w:val="0"/>
        <w:pageBreakBefore w:val="0"/>
        <w:widowControl/>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1、加强预算管理，确保收支按预算执行，加强专项资金清理整合。</w:t>
      </w:r>
    </w:p>
    <w:p>
      <w:pPr>
        <w:keepNext w:val="0"/>
        <w:keepLines w:val="0"/>
        <w:pageBreakBefore w:val="0"/>
        <w:widowControl/>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2、充分发挥财政职能，支持地方经济发展。积极推行政务财务公开，不断改进服务方式,加强财政窗口建设。通过向上级争取资金，加大对农村公益事业投资力度，促进公益事业发展。</w:t>
      </w:r>
    </w:p>
    <w:p>
      <w:pPr>
        <w:keepNext w:val="0"/>
        <w:keepLines w:val="0"/>
        <w:pageBreakBefore w:val="0"/>
        <w:widowControl/>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全面实施绩效管理。推进绩效管理与预算管理紧密结合，实行预算编制、执行、监督全过程的绩效管理工作机制；强化预算支出主体责任，着力提升绩效目标质量；切实强化结果应用，将绩效目标审核结果作为年度安排预算的重要依据，切实提高财政资金使用绩效。</w:t>
      </w:r>
    </w:p>
    <w:p>
      <w:pPr>
        <w:keepNext w:val="0"/>
        <w:keepLines w:val="0"/>
        <w:pageBreakBefore w:val="0"/>
        <w:widowControl/>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加强财政监督，提高财政资金使用效益。规范单位财务管理和资金使用，规范会计核算，确保专款专用，主要对重点项目建设、社保、扶贫、涉农补贴资金等各类资金追踪管理与监管力度，规范了财政资金使用途径。</w:t>
      </w:r>
    </w:p>
    <w:p>
      <w:pPr>
        <w:keepNext w:val="0"/>
        <w:keepLines w:val="0"/>
        <w:pageBreakBefore w:val="0"/>
        <w:widowControl/>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 w:hAnsi="仿宋" w:eastAsia="仿宋" w:cs="仿宋"/>
          <w:color w:val="000000"/>
          <w:kern w:val="0"/>
          <w:sz w:val="36"/>
          <w:szCs w:val="36"/>
        </w:rPr>
      </w:pPr>
      <w:r>
        <w:rPr>
          <w:rFonts w:hint="eastAsia" w:ascii="仿宋_GB2312" w:hAnsi="仿宋_GB2312" w:eastAsia="仿宋_GB2312" w:cs="仿宋_GB2312"/>
          <w:color w:val="000000"/>
          <w:kern w:val="0"/>
          <w:sz w:val="32"/>
          <w:szCs w:val="32"/>
        </w:rPr>
        <w:t>5、提高自身素质，加强队伍建设。以法律法规、机关管理制度为准则，切实转变干部工作作风，加强政治业务学习，细化政务财务公开，建立健全各项内部管理制度。认真参与上级部门组织的业务培训，进一步规范会计基础工作，提高了财政管理水平。</w:t>
      </w:r>
      <w:r>
        <w:rPr>
          <w:rFonts w:hint="eastAsia" w:ascii="仿宋" w:hAnsi="仿宋" w:eastAsia="仿宋" w:cs="仿宋"/>
          <w:color w:val="000000"/>
          <w:kern w:val="0"/>
          <w:sz w:val="36"/>
          <w:szCs w:val="36"/>
        </w:rPr>
        <w:t xml:space="preserve">                   </w:t>
      </w:r>
    </w:p>
    <w:p>
      <w:pPr>
        <w:pStyle w:val="2"/>
        <w:rPr>
          <w:rFonts w:hint="default" w:eastAsia="仿宋_GB2312"/>
          <w:lang w:val="en-US" w:eastAsia="zh-CN"/>
        </w:rPr>
      </w:pPr>
    </w:p>
    <w:p>
      <w:pPr>
        <w:rPr>
          <w:rFonts w:hint="default" w:eastAsia="仿宋_GB2312"/>
          <w:lang w:val="en-US" w:eastAsia="zh-CN"/>
        </w:rPr>
      </w:pPr>
    </w:p>
    <w:p>
      <w:pPr>
        <w:pStyle w:val="2"/>
        <w:rPr>
          <w:rFonts w:hint="default"/>
          <w:lang w:val="en-US" w:eastAsia="zh-CN"/>
        </w:rPr>
      </w:pPr>
    </w:p>
    <w:p>
      <w:pPr>
        <w:pStyle w:val="2"/>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p>
    <w:p>
      <w:pPr>
        <w:pStyle w:val="2"/>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沅江市琼湖街道办事处</w:t>
      </w:r>
    </w:p>
    <w:p>
      <w:pPr>
        <w:pStyle w:val="2"/>
        <w:jc w:val="center"/>
        <w:rPr>
          <w:rFonts w:hint="default" w:ascii="黑体" w:hAnsi="黑体" w:eastAsia="黑体" w:cs="黑体"/>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日</w:t>
      </w:r>
    </w:p>
    <w:p>
      <w:pPr>
        <w:spacing w:line="560" w:lineRule="exact"/>
        <w:ind w:firstLine="420" w:firstLineChars="200"/>
        <w:jc w:val="left"/>
        <w:rPr>
          <w:rFonts w:hint="eastAsia" w:ascii="仿宋_GB2312" w:hAnsi="方正仿宋简体" w:eastAsia="仿宋_GB2312" w:cs="方正仿宋简体"/>
        </w:rPr>
      </w:pPr>
    </w:p>
    <w:p>
      <w:pPr>
        <w:numPr>
          <w:ilvl w:val="0"/>
          <w:numId w:val="0"/>
        </w:numPr>
        <w:ind w:leftChars="200"/>
        <w:rPr>
          <w:rFonts w:hint="default"/>
          <w:lang w:val="en-US" w:eastAsia="zh-CN"/>
        </w:rPr>
      </w:pPr>
    </w:p>
    <w:p>
      <w:pPr>
        <w:pStyle w:val="2"/>
        <w:rPr>
          <w:rFonts w:hint="default"/>
          <w:lang w:val="en-US" w:eastAsia="zh-CN"/>
        </w:rPr>
      </w:pPr>
    </w:p>
    <w:p>
      <w:pPr>
        <w:rPr>
          <w:rFonts w:hint="default"/>
          <w:lang w:val="en-US" w:eastAsia="zh-CN"/>
        </w:rPr>
      </w:pPr>
    </w:p>
    <w:p>
      <w:pPr>
        <w:pStyle w:val="2"/>
        <w:numPr>
          <w:ilvl w:val="0"/>
          <w:numId w:val="0"/>
        </w:numPr>
        <w:rPr>
          <w:rFonts w:hint="eastAsia" w:ascii="仿宋_GB2312" w:hAnsi="仿宋_GB2312" w:eastAsia="仿宋_GB2312" w:cs="仿宋_GB2312"/>
          <w:b w:val="0"/>
          <w:bCs/>
          <w:sz w:val="32"/>
          <w:szCs w:val="32"/>
        </w:rPr>
      </w:pPr>
    </w:p>
    <w:p>
      <w:pPr>
        <w:spacing w:line="560" w:lineRule="exact"/>
        <w:rPr>
          <w:rFonts w:hint="eastAsia" w:ascii="仿宋_GB2312" w:hAnsi="方正仿宋简体" w:eastAsia="仿宋_GB2312" w:cs="方正仿宋简体"/>
          <w:sz w:val="32"/>
          <w:szCs w:val="32"/>
        </w:rPr>
      </w:pPr>
    </w:p>
    <w:p>
      <w:pPr>
        <w:pStyle w:val="2"/>
        <w:rPr>
          <w:rFonts w:hint="eastAsia"/>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附件2 </w:t>
      </w:r>
      <w:r>
        <w:rPr>
          <w:rFonts w:hint="eastAsia" w:ascii="仿宋_GB2312" w:hAnsi="仿宋_GB2312" w:eastAsia="仿宋_GB2312" w:cs="仿宋_GB2312"/>
          <w:b/>
          <w:bCs/>
          <w:sz w:val="32"/>
          <w:szCs w:val="32"/>
          <w:lang w:val="en-US" w:eastAsia="zh-CN"/>
        </w:rPr>
        <w:t>预算支出绩效自评表</w:t>
      </w:r>
    </w:p>
    <w:p>
      <w:pPr>
        <w:jc w:val="center"/>
        <w:rPr>
          <w:rFonts w:hint="eastAsia" w:ascii="仿宋_GB2312" w:hAnsi="楷体" w:eastAsia="仿宋_GB2312" w:cs="Times New Roman"/>
          <w:sz w:val="32"/>
          <w:szCs w:val="32"/>
          <w:lang w:eastAsia="zh-CN"/>
        </w:rPr>
      </w:pPr>
      <w:r>
        <w:rPr>
          <w:rFonts w:hint="eastAsia" w:ascii="仿宋_GB2312" w:hAnsi="楷体" w:eastAsia="仿宋_GB2312" w:cs="Times New Roman"/>
          <w:sz w:val="32"/>
          <w:szCs w:val="32"/>
          <w:lang w:eastAsia="zh-CN"/>
        </w:rPr>
        <w:t>（</w:t>
      </w:r>
      <w:r>
        <w:rPr>
          <w:rFonts w:hint="eastAsia" w:ascii="仿宋_GB2312" w:hAnsi="楷体" w:eastAsia="仿宋_GB2312" w:cs="Times New Roman"/>
          <w:sz w:val="32"/>
          <w:szCs w:val="32"/>
          <w:lang w:val="en-US" w:eastAsia="zh-CN"/>
        </w:rPr>
        <w:t>2022 年度</w:t>
      </w:r>
      <w:r>
        <w:rPr>
          <w:rFonts w:hint="eastAsia" w:ascii="仿宋_GB2312" w:hAnsi="楷体" w:eastAsia="仿宋_GB2312" w:cs="Times New Roman"/>
          <w:sz w:val="32"/>
          <w:szCs w:val="32"/>
          <w:lang w:eastAsia="zh-CN"/>
        </w:rPr>
        <w:t>）</w:t>
      </w:r>
    </w:p>
    <w:tbl>
      <w:tblPr>
        <w:tblStyle w:val="7"/>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74"/>
        <w:gridCol w:w="840"/>
        <w:gridCol w:w="1290"/>
        <w:gridCol w:w="1005"/>
        <w:gridCol w:w="510"/>
        <w:gridCol w:w="1335"/>
        <w:gridCol w:w="855"/>
        <w:gridCol w:w="98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80" w:type="dxa"/>
            <w:shd w:val="clear" w:color="auto" w:fill="auto"/>
            <w:noWrap w:val="0"/>
            <w:vAlign w:val="center"/>
          </w:tcPr>
          <w:p>
            <w:pPr>
              <w:pStyle w:val="2"/>
              <w:keepNext w:val="0"/>
              <w:keepLines w:val="0"/>
              <w:pageBreakBefore w:val="0"/>
              <w:kinsoku/>
              <w:wordWrap/>
              <w:overflowPunct/>
              <w:topLinePunct w:val="0"/>
              <w:autoSpaceDE/>
              <w:autoSpaceDN/>
              <w:bidi w:val="0"/>
              <w:adjustRightInd/>
              <w:snapToGrid/>
              <w:spacing w:line="192" w:lineRule="auto"/>
              <w:textAlignment w:val="auto"/>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sz w:val="21"/>
                <w:szCs w:val="21"/>
                <w:lang w:eastAsia="zh-CN"/>
              </w:rPr>
              <w:t>项目支出名称</w:t>
            </w:r>
          </w:p>
        </w:tc>
        <w:tc>
          <w:tcPr>
            <w:tcW w:w="9243" w:type="dxa"/>
            <w:gridSpan w:val="9"/>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192" w:lineRule="auto"/>
              <w:jc w:val="both"/>
              <w:textAlignment w:val="auto"/>
              <w:rPr>
                <w:rFonts w:eastAsia="仿宋_GB2312"/>
                <w:color w:val="000000"/>
                <w:kern w:val="0"/>
                <w:szCs w:val="21"/>
              </w:rPr>
            </w:pPr>
            <w:r>
              <w:rPr>
                <w:rFonts w:hint="eastAsia" w:eastAsia="仿宋_GB2312"/>
                <w:color w:val="000000"/>
                <w:kern w:val="0"/>
                <w:szCs w:val="21"/>
                <w:lang w:eastAsia="zh-CN"/>
              </w:rPr>
              <w:t>业务工作经费</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80" w:type="dxa"/>
            <w:shd w:val="clear" w:color="auto" w:fill="auto"/>
            <w:noWrap w:val="0"/>
            <w:vAlign w:val="center"/>
          </w:tcPr>
          <w:p>
            <w:pPr>
              <w:pStyle w:val="2"/>
              <w:keepNext w:val="0"/>
              <w:keepLines w:val="0"/>
              <w:pageBreakBefore w:val="0"/>
              <w:kinsoku/>
              <w:wordWrap/>
              <w:overflowPunct/>
              <w:topLinePunct w:val="0"/>
              <w:autoSpaceDE/>
              <w:autoSpaceDN/>
              <w:bidi w:val="0"/>
              <w:adjustRightInd/>
              <w:snapToGrid/>
              <w:spacing w:line="192" w:lineRule="auto"/>
              <w:textAlignment w:val="auto"/>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sz w:val="21"/>
                <w:szCs w:val="21"/>
                <w:lang w:eastAsia="zh-CN"/>
              </w:rPr>
              <w:t>主管部门</w:t>
            </w:r>
          </w:p>
        </w:tc>
        <w:tc>
          <w:tcPr>
            <w:tcW w:w="4109" w:type="dxa"/>
            <w:gridSpan w:val="4"/>
            <w:tcBorders>
              <w:right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default" w:eastAsia="仿宋_GB2312"/>
                <w:color w:val="000000"/>
                <w:kern w:val="0"/>
                <w:szCs w:val="21"/>
                <w:lang w:val="en-US" w:eastAsia="zh-CN"/>
              </w:rPr>
            </w:pPr>
            <w:r>
              <w:rPr>
                <w:rFonts w:hint="eastAsia" w:eastAsia="仿宋_GB2312"/>
                <w:color w:val="000000"/>
                <w:kern w:val="0"/>
                <w:szCs w:val="21"/>
                <w:lang w:eastAsia="zh-CN"/>
              </w:rPr>
              <w:t>琼湖街道办事处</w:t>
            </w:r>
          </w:p>
        </w:tc>
        <w:tc>
          <w:tcPr>
            <w:tcW w:w="510" w:type="dxa"/>
            <w:tcBorders>
              <w:left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eastAsia" w:eastAsia="仿宋_GB2312"/>
                <w:color w:val="000000"/>
                <w:kern w:val="0"/>
                <w:szCs w:val="21"/>
                <w:lang w:eastAsia="zh-CN"/>
              </w:rPr>
            </w:pPr>
          </w:p>
        </w:tc>
        <w:tc>
          <w:tcPr>
            <w:tcW w:w="133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eastAsia" w:eastAsia="仿宋_GB2312"/>
                <w:color w:val="000000"/>
                <w:kern w:val="0"/>
                <w:szCs w:val="21"/>
                <w:lang w:eastAsia="zh-CN"/>
              </w:rPr>
            </w:pPr>
            <w:r>
              <w:rPr>
                <w:rFonts w:hint="eastAsia" w:eastAsia="仿宋_GB2312"/>
                <w:color w:val="000000"/>
                <w:kern w:val="0"/>
                <w:szCs w:val="21"/>
                <w:lang w:eastAsia="zh-CN"/>
              </w:rPr>
              <w:t>实施单位</w:t>
            </w:r>
          </w:p>
        </w:tc>
        <w:tc>
          <w:tcPr>
            <w:tcW w:w="3289" w:type="dxa"/>
            <w:gridSpan w:val="3"/>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192" w:lineRule="auto"/>
              <w:jc w:val="both"/>
              <w:textAlignment w:val="auto"/>
              <w:rPr>
                <w:rFonts w:hint="eastAsia" w:eastAsia="仿宋_GB2312"/>
                <w:color w:val="000000"/>
                <w:kern w:val="0"/>
                <w:szCs w:val="21"/>
                <w:lang w:eastAsia="zh-CN"/>
              </w:rPr>
            </w:pPr>
            <w:r>
              <w:rPr>
                <w:rFonts w:hint="eastAsia" w:eastAsia="仿宋_GB2312"/>
                <w:color w:val="000000"/>
                <w:kern w:val="0"/>
                <w:szCs w:val="21"/>
                <w:lang w:eastAsia="zh-CN"/>
              </w:rPr>
              <w:t>琼湖街道办事处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080" w:type="dxa"/>
            <w:vMerge w:val="restart"/>
            <w:shd w:val="clear" w:color="auto" w:fill="auto"/>
            <w:noWrap w:val="0"/>
            <w:vAlign w:val="center"/>
          </w:tcPr>
          <w:p>
            <w:pPr>
              <w:widowControl/>
              <w:jc w:val="center"/>
              <w:rPr>
                <w:rFonts w:eastAsia="仿宋_GB2312"/>
                <w:color w:val="000000"/>
                <w:kern w:val="0"/>
                <w:szCs w:val="21"/>
              </w:rPr>
            </w:pPr>
            <w:r>
              <w:rPr>
                <w:rFonts w:hint="eastAsia" w:eastAsia="仿宋_GB2312"/>
                <w:color w:val="000000"/>
                <w:kern w:val="0"/>
                <w:szCs w:val="21"/>
                <w:lang w:eastAsia="zh-CN"/>
              </w:rPr>
              <w:t>项目资金</w:t>
            </w:r>
            <w:r>
              <w:rPr>
                <w:rFonts w:eastAsia="仿宋_GB2312"/>
                <w:color w:val="000000"/>
                <w:kern w:val="0"/>
                <w:szCs w:val="21"/>
              </w:rPr>
              <w:br w:type="textWrapping"/>
            </w:r>
            <w:r>
              <w:rPr>
                <w:rFonts w:eastAsia="仿宋_GB2312"/>
                <w:color w:val="000000"/>
                <w:kern w:val="0"/>
                <w:szCs w:val="21"/>
              </w:rPr>
              <w:t>（万元）</w:t>
            </w:r>
          </w:p>
        </w:tc>
        <w:tc>
          <w:tcPr>
            <w:tcW w:w="1814" w:type="dxa"/>
            <w:gridSpan w:val="2"/>
            <w:shd w:val="clear" w:color="auto" w:fill="auto"/>
            <w:noWrap w:val="0"/>
            <w:vAlign w:val="center"/>
          </w:tcPr>
          <w:p>
            <w:pPr>
              <w:jc w:val="center"/>
              <w:rPr>
                <w:rFonts w:eastAsia="仿宋_GB2312"/>
                <w:szCs w:val="21"/>
              </w:rPr>
            </w:pPr>
          </w:p>
        </w:tc>
        <w:tc>
          <w:tcPr>
            <w:tcW w:w="1290" w:type="dxa"/>
            <w:shd w:val="clear" w:color="auto" w:fill="auto"/>
            <w:noWrap w:val="0"/>
            <w:vAlign w:val="center"/>
          </w:tcPr>
          <w:p>
            <w:pPr>
              <w:jc w:val="left"/>
              <w:rPr>
                <w:rFonts w:eastAsia="仿宋_GB2312"/>
                <w:szCs w:val="21"/>
              </w:rPr>
            </w:pPr>
            <w:r>
              <w:rPr>
                <w:rFonts w:eastAsia="仿宋_GB2312"/>
                <w:szCs w:val="21"/>
              </w:rPr>
              <w:t>年初预算数</w:t>
            </w:r>
          </w:p>
        </w:tc>
        <w:tc>
          <w:tcPr>
            <w:tcW w:w="1515" w:type="dxa"/>
            <w:gridSpan w:val="2"/>
            <w:shd w:val="clear" w:color="auto" w:fill="auto"/>
            <w:noWrap w:val="0"/>
            <w:vAlign w:val="center"/>
          </w:tcPr>
          <w:p>
            <w:pPr>
              <w:jc w:val="left"/>
              <w:rPr>
                <w:rFonts w:eastAsia="仿宋_GB2312"/>
                <w:szCs w:val="21"/>
              </w:rPr>
            </w:pPr>
            <w:r>
              <w:rPr>
                <w:rFonts w:eastAsia="仿宋_GB2312"/>
                <w:szCs w:val="21"/>
              </w:rPr>
              <w:t>全年预算数</w:t>
            </w:r>
          </w:p>
        </w:tc>
        <w:tc>
          <w:tcPr>
            <w:tcW w:w="1335" w:type="dxa"/>
            <w:shd w:val="clear" w:color="auto" w:fill="auto"/>
            <w:noWrap w:val="0"/>
            <w:vAlign w:val="center"/>
          </w:tcPr>
          <w:p>
            <w:pPr>
              <w:jc w:val="left"/>
              <w:rPr>
                <w:rFonts w:eastAsia="仿宋_GB2312"/>
                <w:szCs w:val="21"/>
              </w:rPr>
            </w:pPr>
            <w:r>
              <w:rPr>
                <w:rFonts w:eastAsia="仿宋_GB2312"/>
                <w:szCs w:val="21"/>
              </w:rPr>
              <w:t>全年执行数</w:t>
            </w:r>
          </w:p>
        </w:tc>
        <w:tc>
          <w:tcPr>
            <w:tcW w:w="855" w:type="dxa"/>
            <w:shd w:val="clear" w:color="auto" w:fill="auto"/>
            <w:noWrap w:val="0"/>
            <w:vAlign w:val="center"/>
          </w:tcPr>
          <w:p>
            <w:pPr>
              <w:jc w:val="left"/>
              <w:rPr>
                <w:rFonts w:eastAsia="仿宋_GB2312"/>
                <w:szCs w:val="21"/>
              </w:rPr>
            </w:pPr>
            <w:r>
              <w:rPr>
                <w:rFonts w:eastAsia="仿宋_GB2312"/>
                <w:szCs w:val="21"/>
              </w:rPr>
              <w:t>分值</w:t>
            </w:r>
          </w:p>
        </w:tc>
        <w:tc>
          <w:tcPr>
            <w:tcW w:w="988" w:type="dxa"/>
            <w:shd w:val="clear" w:color="auto" w:fill="auto"/>
            <w:noWrap w:val="0"/>
            <w:vAlign w:val="center"/>
          </w:tcPr>
          <w:p>
            <w:pPr>
              <w:jc w:val="left"/>
              <w:rPr>
                <w:rFonts w:eastAsia="仿宋_GB2312"/>
                <w:szCs w:val="21"/>
              </w:rPr>
            </w:pPr>
            <w:r>
              <w:rPr>
                <w:rFonts w:eastAsia="仿宋_GB2312"/>
                <w:szCs w:val="21"/>
              </w:rPr>
              <w:t>执行率</w:t>
            </w:r>
          </w:p>
        </w:tc>
        <w:tc>
          <w:tcPr>
            <w:tcW w:w="1446" w:type="dxa"/>
            <w:shd w:val="clear" w:color="auto" w:fill="auto"/>
            <w:noWrap w:val="0"/>
            <w:vAlign w:val="center"/>
          </w:tcPr>
          <w:p>
            <w:pPr>
              <w:jc w:val="left"/>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noWrap w:val="0"/>
            <w:vAlign w:val="center"/>
          </w:tcPr>
          <w:p>
            <w:pPr>
              <w:widowControl/>
              <w:jc w:val="center"/>
              <w:rPr>
                <w:rFonts w:eastAsia="仿宋_GB2312"/>
                <w:color w:val="000000"/>
                <w:kern w:val="0"/>
                <w:szCs w:val="21"/>
              </w:rPr>
            </w:pPr>
          </w:p>
        </w:tc>
        <w:tc>
          <w:tcPr>
            <w:tcW w:w="1814" w:type="dxa"/>
            <w:gridSpan w:val="2"/>
            <w:shd w:val="clear" w:color="auto" w:fill="auto"/>
            <w:noWrap w:val="0"/>
            <w:vAlign w:val="center"/>
          </w:tcPr>
          <w:p>
            <w:pPr>
              <w:jc w:val="center"/>
              <w:rPr>
                <w:rFonts w:eastAsia="仿宋_GB2312"/>
                <w:szCs w:val="21"/>
              </w:rPr>
            </w:pPr>
            <w:r>
              <w:rPr>
                <w:rFonts w:eastAsia="仿宋_GB2312"/>
                <w:color w:val="000000"/>
                <w:kern w:val="0"/>
                <w:szCs w:val="21"/>
              </w:rPr>
              <w:t>年度资金总额</w:t>
            </w:r>
          </w:p>
        </w:tc>
        <w:tc>
          <w:tcPr>
            <w:tcW w:w="1290" w:type="dxa"/>
            <w:shd w:val="clear" w:color="auto" w:fill="auto"/>
            <w:noWrap w:val="0"/>
            <w:vAlign w:val="center"/>
          </w:tcPr>
          <w:p>
            <w:pPr>
              <w:jc w:val="center"/>
              <w:rPr>
                <w:rFonts w:hint="default" w:eastAsia="仿宋_GB2312"/>
                <w:szCs w:val="21"/>
                <w:lang w:val="en-US" w:eastAsia="zh-CN"/>
              </w:rPr>
            </w:pPr>
            <w:r>
              <w:rPr>
                <w:rFonts w:hint="eastAsia" w:eastAsia="仿宋_GB2312"/>
                <w:szCs w:val="21"/>
                <w:lang w:val="en-US" w:eastAsia="zh-CN"/>
              </w:rPr>
              <w:t>198.20</w:t>
            </w:r>
          </w:p>
        </w:tc>
        <w:tc>
          <w:tcPr>
            <w:tcW w:w="1515" w:type="dxa"/>
            <w:gridSpan w:val="2"/>
            <w:shd w:val="clear" w:color="auto" w:fill="auto"/>
            <w:noWrap w:val="0"/>
            <w:vAlign w:val="center"/>
          </w:tcPr>
          <w:p>
            <w:pPr>
              <w:jc w:val="center"/>
              <w:rPr>
                <w:rFonts w:hint="default" w:eastAsia="仿宋_GB2312"/>
                <w:szCs w:val="21"/>
                <w:lang w:val="en-US" w:eastAsia="zh-CN"/>
              </w:rPr>
            </w:pPr>
            <w:r>
              <w:rPr>
                <w:rFonts w:hint="eastAsia" w:eastAsia="仿宋_GB2312"/>
                <w:szCs w:val="21"/>
                <w:lang w:val="en-US" w:eastAsia="zh-CN"/>
              </w:rPr>
              <w:t>44291.54</w:t>
            </w:r>
          </w:p>
        </w:tc>
        <w:tc>
          <w:tcPr>
            <w:tcW w:w="1335" w:type="dxa"/>
            <w:shd w:val="clear" w:color="auto" w:fill="auto"/>
            <w:noWrap w:val="0"/>
            <w:vAlign w:val="center"/>
          </w:tcPr>
          <w:p>
            <w:pPr>
              <w:jc w:val="center"/>
              <w:rPr>
                <w:rFonts w:hint="default" w:eastAsia="仿宋_GB2312"/>
                <w:szCs w:val="21"/>
                <w:lang w:val="en-US" w:eastAsia="zh-CN"/>
              </w:rPr>
            </w:pPr>
            <w:r>
              <w:rPr>
                <w:rFonts w:hint="eastAsia" w:eastAsia="仿宋_GB2312"/>
                <w:szCs w:val="21"/>
                <w:lang w:val="en-US" w:eastAsia="zh-CN"/>
              </w:rPr>
              <w:t>44291.54</w:t>
            </w:r>
          </w:p>
        </w:tc>
        <w:tc>
          <w:tcPr>
            <w:tcW w:w="855" w:type="dxa"/>
            <w:shd w:val="clear" w:color="auto" w:fill="auto"/>
            <w:noWrap w:val="0"/>
            <w:vAlign w:val="center"/>
          </w:tcPr>
          <w:p>
            <w:pPr>
              <w:jc w:val="center"/>
              <w:rPr>
                <w:rFonts w:eastAsia="仿宋_GB2312"/>
                <w:szCs w:val="21"/>
              </w:rPr>
            </w:pPr>
            <w:r>
              <w:rPr>
                <w:rFonts w:eastAsia="仿宋_GB2312"/>
                <w:szCs w:val="21"/>
              </w:rPr>
              <w:t>10</w:t>
            </w:r>
          </w:p>
        </w:tc>
        <w:tc>
          <w:tcPr>
            <w:tcW w:w="988" w:type="dxa"/>
            <w:shd w:val="clear" w:color="auto" w:fill="auto"/>
            <w:noWrap w:val="0"/>
            <w:vAlign w:val="center"/>
          </w:tcPr>
          <w:p>
            <w:pPr>
              <w:jc w:val="center"/>
              <w:rPr>
                <w:rFonts w:hint="default" w:eastAsia="仿宋_GB2312"/>
                <w:szCs w:val="21"/>
                <w:lang w:val="en-US" w:eastAsia="zh-CN"/>
              </w:rPr>
            </w:pPr>
            <w:r>
              <w:rPr>
                <w:rFonts w:hint="eastAsia" w:eastAsia="仿宋_GB2312"/>
                <w:szCs w:val="21"/>
                <w:lang w:val="en-US" w:eastAsia="zh-CN"/>
              </w:rPr>
              <w:t>100%</w:t>
            </w:r>
          </w:p>
        </w:tc>
        <w:tc>
          <w:tcPr>
            <w:tcW w:w="1446" w:type="dxa"/>
            <w:shd w:val="clear" w:color="auto" w:fill="auto"/>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80" w:type="dxa"/>
            <w:vMerge w:val="continue"/>
            <w:shd w:val="clear" w:color="auto" w:fill="auto"/>
            <w:noWrap w:val="0"/>
            <w:vAlign w:val="center"/>
          </w:tcPr>
          <w:p>
            <w:pPr>
              <w:widowControl/>
              <w:jc w:val="left"/>
              <w:rPr>
                <w:rFonts w:eastAsia="仿宋_GB2312"/>
                <w:color w:val="000000"/>
                <w:kern w:val="0"/>
                <w:szCs w:val="21"/>
              </w:rPr>
            </w:pPr>
          </w:p>
        </w:tc>
        <w:tc>
          <w:tcPr>
            <w:tcW w:w="1814" w:type="dxa"/>
            <w:gridSpan w:val="2"/>
            <w:shd w:val="clear" w:color="auto" w:fill="auto"/>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其中：当年财政拨款</w:t>
            </w:r>
          </w:p>
        </w:tc>
        <w:tc>
          <w:tcPr>
            <w:tcW w:w="1290" w:type="dxa"/>
            <w:shd w:val="clear" w:color="auto" w:fill="auto"/>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198.20</w:t>
            </w:r>
          </w:p>
        </w:tc>
        <w:tc>
          <w:tcPr>
            <w:tcW w:w="1515" w:type="dxa"/>
            <w:gridSpan w:val="2"/>
            <w:shd w:val="clear" w:color="auto" w:fill="auto"/>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5005.48</w:t>
            </w:r>
          </w:p>
        </w:tc>
        <w:tc>
          <w:tcPr>
            <w:tcW w:w="1335" w:type="dxa"/>
            <w:shd w:val="clear" w:color="auto" w:fill="auto"/>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5005.48</w:t>
            </w:r>
          </w:p>
        </w:tc>
        <w:tc>
          <w:tcPr>
            <w:tcW w:w="855" w:type="dxa"/>
            <w:shd w:val="clear" w:color="auto" w:fill="auto"/>
            <w:noWrap w:val="0"/>
            <w:vAlign w:val="center"/>
          </w:tcPr>
          <w:p>
            <w:pPr>
              <w:widowControl/>
              <w:jc w:val="center"/>
              <w:rPr>
                <w:rFonts w:hint="default" w:eastAsia="仿宋_GB2312"/>
                <w:color w:val="000000"/>
                <w:kern w:val="0"/>
                <w:szCs w:val="21"/>
                <w:lang w:val="en-US" w:eastAsia="zh-CN"/>
              </w:rPr>
            </w:pPr>
          </w:p>
        </w:tc>
        <w:tc>
          <w:tcPr>
            <w:tcW w:w="988" w:type="dxa"/>
            <w:shd w:val="clear" w:color="auto" w:fill="auto"/>
            <w:noWrap w:val="0"/>
            <w:vAlign w:val="center"/>
          </w:tcPr>
          <w:p>
            <w:pPr>
              <w:widowControl/>
              <w:jc w:val="center"/>
              <w:rPr>
                <w:rFonts w:hint="default" w:eastAsia="仿宋_GB2312"/>
                <w:color w:val="000000"/>
                <w:kern w:val="0"/>
                <w:szCs w:val="21"/>
                <w:lang w:val="en-US" w:eastAsia="zh-CN"/>
              </w:rPr>
            </w:pPr>
          </w:p>
        </w:tc>
        <w:tc>
          <w:tcPr>
            <w:tcW w:w="1446" w:type="dxa"/>
            <w:shd w:val="clear" w:color="auto" w:fill="auto"/>
            <w:noWrap w:val="0"/>
            <w:vAlign w:val="center"/>
          </w:tcPr>
          <w:p>
            <w:pPr>
              <w:widowControl/>
              <w:jc w:val="center"/>
              <w:rPr>
                <w:rFonts w:hint="default" w:eastAsia="仿宋_GB2312"/>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80" w:type="dxa"/>
            <w:vMerge w:val="continue"/>
            <w:shd w:val="clear" w:color="auto" w:fill="auto"/>
            <w:noWrap w:val="0"/>
            <w:vAlign w:val="center"/>
          </w:tcPr>
          <w:p>
            <w:pPr>
              <w:widowControl/>
              <w:jc w:val="left"/>
              <w:rPr>
                <w:rFonts w:eastAsia="仿宋_GB2312"/>
                <w:color w:val="000000"/>
                <w:kern w:val="0"/>
                <w:szCs w:val="21"/>
              </w:rPr>
            </w:pPr>
          </w:p>
        </w:tc>
        <w:tc>
          <w:tcPr>
            <w:tcW w:w="1814" w:type="dxa"/>
            <w:gridSpan w:val="2"/>
            <w:shd w:val="clear" w:color="auto" w:fill="auto"/>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 xml:space="preserve">     上年财政结转</w:t>
            </w:r>
          </w:p>
        </w:tc>
        <w:tc>
          <w:tcPr>
            <w:tcW w:w="1290" w:type="dxa"/>
            <w:shd w:val="clear" w:color="auto" w:fill="auto"/>
            <w:noWrap w:val="0"/>
            <w:vAlign w:val="center"/>
          </w:tcPr>
          <w:p>
            <w:pPr>
              <w:widowControl/>
              <w:jc w:val="center"/>
              <w:rPr>
                <w:rFonts w:eastAsia="仿宋_GB2312"/>
                <w:color w:val="000000"/>
                <w:kern w:val="0"/>
                <w:szCs w:val="21"/>
              </w:rPr>
            </w:pPr>
          </w:p>
        </w:tc>
        <w:tc>
          <w:tcPr>
            <w:tcW w:w="1515" w:type="dxa"/>
            <w:gridSpan w:val="2"/>
            <w:shd w:val="clear" w:color="auto" w:fill="auto"/>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125.32</w:t>
            </w:r>
          </w:p>
        </w:tc>
        <w:tc>
          <w:tcPr>
            <w:tcW w:w="1335" w:type="dxa"/>
            <w:shd w:val="clear" w:color="auto" w:fill="auto"/>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125.32</w:t>
            </w:r>
          </w:p>
        </w:tc>
        <w:tc>
          <w:tcPr>
            <w:tcW w:w="855" w:type="dxa"/>
            <w:shd w:val="clear" w:color="auto" w:fill="auto"/>
            <w:noWrap w:val="0"/>
            <w:vAlign w:val="center"/>
          </w:tcPr>
          <w:p>
            <w:pPr>
              <w:widowControl/>
              <w:jc w:val="center"/>
              <w:rPr>
                <w:rFonts w:eastAsia="仿宋_GB2312"/>
                <w:color w:val="000000"/>
                <w:kern w:val="0"/>
                <w:szCs w:val="21"/>
              </w:rPr>
            </w:pPr>
          </w:p>
        </w:tc>
        <w:tc>
          <w:tcPr>
            <w:tcW w:w="988" w:type="dxa"/>
            <w:shd w:val="clear" w:color="auto" w:fill="auto"/>
            <w:noWrap w:val="0"/>
            <w:vAlign w:val="center"/>
          </w:tcPr>
          <w:p>
            <w:pPr>
              <w:widowControl/>
              <w:jc w:val="center"/>
              <w:rPr>
                <w:rFonts w:eastAsia="仿宋_GB2312"/>
                <w:color w:val="000000"/>
                <w:kern w:val="0"/>
                <w:szCs w:val="21"/>
              </w:rPr>
            </w:pPr>
          </w:p>
        </w:tc>
        <w:tc>
          <w:tcPr>
            <w:tcW w:w="1446" w:type="dxa"/>
            <w:shd w:val="clear" w:color="auto" w:fill="auto"/>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noWrap w:val="0"/>
            <w:vAlign w:val="center"/>
          </w:tcPr>
          <w:p>
            <w:pPr>
              <w:widowControl/>
              <w:jc w:val="left"/>
              <w:rPr>
                <w:rFonts w:eastAsia="仿宋_GB2312"/>
                <w:color w:val="000000"/>
                <w:kern w:val="0"/>
                <w:szCs w:val="21"/>
              </w:rPr>
            </w:pPr>
          </w:p>
        </w:tc>
        <w:tc>
          <w:tcPr>
            <w:tcW w:w="1814" w:type="dxa"/>
            <w:gridSpan w:val="2"/>
            <w:shd w:val="clear" w:color="auto" w:fill="auto"/>
            <w:noWrap w:val="0"/>
            <w:vAlign w:val="center"/>
          </w:tcPr>
          <w:p>
            <w:pPr>
              <w:widowControl/>
              <w:jc w:val="both"/>
              <w:rPr>
                <w:rFonts w:hint="default" w:eastAsia="仿宋_GB2312"/>
                <w:color w:val="000000"/>
                <w:kern w:val="0"/>
                <w:szCs w:val="21"/>
                <w:lang w:val="en-US" w:eastAsia="zh-CN"/>
              </w:rPr>
            </w:pPr>
            <w:r>
              <w:rPr>
                <w:rFonts w:hint="eastAsia" w:eastAsia="仿宋_GB2312"/>
                <w:color w:val="000000"/>
                <w:kern w:val="0"/>
                <w:szCs w:val="21"/>
                <w:lang w:val="en-US" w:eastAsia="zh-CN"/>
              </w:rPr>
              <w:t xml:space="preserve">     其他资金</w:t>
            </w:r>
          </w:p>
        </w:tc>
        <w:tc>
          <w:tcPr>
            <w:tcW w:w="1290" w:type="dxa"/>
            <w:shd w:val="clear" w:color="auto" w:fill="auto"/>
            <w:noWrap w:val="0"/>
            <w:vAlign w:val="center"/>
          </w:tcPr>
          <w:p>
            <w:pPr>
              <w:widowControl/>
              <w:ind w:firstLine="1470" w:firstLineChars="700"/>
              <w:jc w:val="center"/>
              <w:rPr>
                <w:rFonts w:eastAsia="仿宋_GB2312"/>
                <w:color w:val="000000"/>
                <w:kern w:val="0"/>
                <w:szCs w:val="21"/>
              </w:rPr>
            </w:pPr>
          </w:p>
        </w:tc>
        <w:tc>
          <w:tcPr>
            <w:tcW w:w="1515" w:type="dxa"/>
            <w:gridSpan w:val="2"/>
            <w:shd w:val="clear" w:color="auto" w:fill="auto"/>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39160.74</w:t>
            </w:r>
          </w:p>
        </w:tc>
        <w:tc>
          <w:tcPr>
            <w:tcW w:w="1335" w:type="dxa"/>
            <w:shd w:val="clear" w:color="auto" w:fill="auto"/>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39160.74</w:t>
            </w:r>
          </w:p>
        </w:tc>
        <w:tc>
          <w:tcPr>
            <w:tcW w:w="855" w:type="dxa"/>
            <w:shd w:val="clear" w:color="auto" w:fill="auto"/>
            <w:noWrap w:val="0"/>
            <w:vAlign w:val="center"/>
          </w:tcPr>
          <w:p>
            <w:pPr>
              <w:widowControl/>
              <w:jc w:val="center"/>
              <w:rPr>
                <w:rFonts w:eastAsia="仿宋_GB2312"/>
                <w:color w:val="000000"/>
                <w:kern w:val="0"/>
                <w:szCs w:val="21"/>
              </w:rPr>
            </w:pPr>
          </w:p>
        </w:tc>
        <w:tc>
          <w:tcPr>
            <w:tcW w:w="988" w:type="dxa"/>
            <w:shd w:val="clear" w:color="auto" w:fill="auto"/>
            <w:noWrap w:val="0"/>
            <w:vAlign w:val="center"/>
          </w:tcPr>
          <w:p>
            <w:pPr>
              <w:widowControl/>
              <w:jc w:val="center"/>
              <w:rPr>
                <w:rFonts w:eastAsia="仿宋_GB2312"/>
                <w:color w:val="000000"/>
                <w:kern w:val="0"/>
                <w:szCs w:val="21"/>
              </w:rPr>
            </w:pPr>
          </w:p>
        </w:tc>
        <w:tc>
          <w:tcPr>
            <w:tcW w:w="1446" w:type="dxa"/>
            <w:shd w:val="clear" w:color="auto" w:fill="auto"/>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619" w:type="dxa"/>
            <w:gridSpan w:val="5"/>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624" w:type="dxa"/>
            <w:gridSpan w:val="4"/>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shd w:val="clear" w:color="auto" w:fill="auto"/>
            <w:noWrap w:val="0"/>
            <w:vAlign w:val="center"/>
          </w:tcPr>
          <w:p>
            <w:pPr>
              <w:widowControl/>
              <w:jc w:val="left"/>
              <w:rPr>
                <w:rFonts w:eastAsia="仿宋_GB2312"/>
                <w:color w:val="000000"/>
                <w:kern w:val="0"/>
                <w:szCs w:val="21"/>
              </w:rPr>
            </w:pPr>
          </w:p>
        </w:tc>
        <w:tc>
          <w:tcPr>
            <w:tcW w:w="4619" w:type="dxa"/>
            <w:gridSpan w:val="5"/>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　　</w:t>
            </w:r>
          </w:p>
        </w:tc>
        <w:tc>
          <w:tcPr>
            <w:tcW w:w="4624" w:type="dxa"/>
            <w:gridSpan w:val="4"/>
            <w:shd w:val="clear" w:color="auto" w:fill="auto"/>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974" w:type="dxa"/>
            <w:shd w:val="clear" w:color="auto" w:fill="auto"/>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840" w:type="dxa"/>
            <w:shd w:val="clear" w:color="auto" w:fill="auto"/>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90" w:type="dxa"/>
            <w:shd w:val="clear" w:color="auto" w:fill="auto"/>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515" w:type="dxa"/>
            <w:gridSpan w:val="2"/>
            <w:shd w:val="clear" w:color="auto" w:fill="auto"/>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335" w:type="dxa"/>
            <w:shd w:val="clear" w:color="auto" w:fill="auto"/>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55" w:type="dxa"/>
            <w:shd w:val="clear" w:color="auto" w:fill="auto"/>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988" w:type="dxa"/>
            <w:shd w:val="clear" w:color="auto" w:fill="auto"/>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46" w:type="dxa"/>
            <w:shd w:val="clear" w:color="auto" w:fill="auto"/>
            <w:noWrap w:val="0"/>
            <w:vAlign w:val="top"/>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1080" w:type="dxa"/>
            <w:vMerge w:val="continue"/>
            <w:shd w:val="clear" w:color="auto" w:fill="auto"/>
            <w:noWrap w:val="0"/>
            <w:vAlign w:val="center"/>
          </w:tcPr>
          <w:p>
            <w:pPr>
              <w:jc w:val="center"/>
              <w:rPr>
                <w:rFonts w:eastAsia="仿宋_GB2312"/>
                <w:color w:val="000000"/>
                <w:kern w:val="0"/>
                <w:szCs w:val="21"/>
              </w:rPr>
            </w:pPr>
          </w:p>
        </w:tc>
        <w:tc>
          <w:tcPr>
            <w:tcW w:w="974" w:type="dxa"/>
            <w:vMerge w:val="restart"/>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840" w:type="dxa"/>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Cs w:val="21"/>
              </w:rPr>
            </w:pPr>
            <w:r>
              <w:rPr>
                <w:rFonts w:eastAsia="仿宋_GB2312"/>
                <w:color w:val="000000"/>
                <w:kern w:val="0"/>
                <w:szCs w:val="21"/>
              </w:rPr>
              <w:t>指标</w:t>
            </w:r>
          </w:p>
        </w:tc>
        <w:tc>
          <w:tcPr>
            <w:tcW w:w="1290" w:type="dxa"/>
            <w:shd w:val="clear" w:color="auto" w:fill="auto"/>
            <w:noWrap w:val="0"/>
            <w:vAlign w:val="top"/>
          </w:tcPr>
          <w:p>
            <w:pPr>
              <w:widowControl/>
              <w:ind w:left="0" w:leftChars="0"/>
              <w:jc w:val="both"/>
              <w:rPr>
                <w:rFonts w:eastAsia="仿宋_GB2312"/>
                <w:color w:val="000000"/>
                <w:kern w:val="0"/>
                <w:szCs w:val="21"/>
              </w:rPr>
            </w:pPr>
            <w:r>
              <w:rPr>
                <w:rFonts w:hint="eastAsia" w:eastAsia="仿宋_GB2312"/>
                <w:color w:val="000000"/>
                <w:kern w:val="0"/>
                <w:szCs w:val="21"/>
              </w:rPr>
              <w:t>按时发放机关、村</w:t>
            </w:r>
            <w:r>
              <w:rPr>
                <w:rFonts w:hint="eastAsia" w:eastAsia="仿宋_GB2312"/>
                <w:color w:val="000000"/>
                <w:kern w:val="0"/>
                <w:szCs w:val="21"/>
                <w:lang w:eastAsia="zh-CN"/>
              </w:rPr>
              <w:t>社区</w:t>
            </w:r>
            <w:r>
              <w:rPr>
                <w:rFonts w:hint="eastAsia" w:eastAsia="仿宋_GB2312"/>
                <w:color w:val="000000"/>
                <w:kern w:val="0"/>
                <w:szCs w:val="21"/>
              </w:rPr>
              <w:t>干部工资，保障公用经费支付。</w:t>
            </w:r>
          </w:p>
        </w:tc>
        <w:tc>
          <w:tcPr>
            <w:tcW w:w="1515" w:type="dxa"/>
            <w:gridSpan w:val="2"/>
            <w:shd w:val="clear" w:color="auto" w:fill="auto"/>
            <w:noWrap w:val="0"/>
            <w:vAlign w:val="top"/>
          </w:tcPr>
          <w:p>
            <w:pPr>
              <w:widowControl/>
              <w:ind w:left="0" w:leftChars="0"/>
              <w:jc w:val="both"/>
              <w:rPr>
                <w:rFonts w:hint="eastAsia" w:eastAsia="仿宋_GB2312"/>
                <w:color w:val="000000"/>
                <w:kern w:val="0"/>
                <w:szCs w:val="21"/>
                <w:lang w:eastAsia="zh-CN"/>
              </w:rPr>
            </w:pPr>
            <w:r>
              <w:rPr>
                <w:rFonts w:hint="eastAsia" w:eastAsia="仿宋_GB2312"/>
                <w:color w:val="000000"/>
                <w:kern w:val="0"/>
                <w:szCs w:val="21"/>
              </w:rPr>
              <w:t>打卡直发放人员及个人补助经费，保障</w:t>
            </w:r>
            <w:r>
              <w:rPr>
                <w:rFonts w:hint="eastAsia" w:eastAsia="仿宋_GB2312"/>
                <w:color w:val="000000"/>
                <w:kern w:val="0"/>
                <w:szCs w:val="21"/>
                <w:lang w:eastAsia="zh-CN"/>
              </w:rPr>
              <w:t>籍贯</w:t>
            </w:r>
            <w:r>
              <w:rPr>
                <w:rFonts w:hint="eastAsia" w:eastAsia="仿宋_GB2312"/>
                <w:color w:val="000000"/>
                <w:kern w:val="0"/>
                <w:szCs w:val="21"/>
              </w:rPr>
              <w:t>正常运转、社会稳定</w:t>
            </w:r>
            <w:r>
              <w:rPr>
                <w:rFonts w:hint="eastAsia" w:eastAsia="仿宋_GB2312"/>
                <w:color w:val="000000"/>
                <w:kern w:val="0"/>
                <w:szCs w:val="21"/>
                <w:lang w:eastAsia="zh-CN"/>
              </w:rPr>
              <w:t>。</w:t>
            </w:r>
          </w:p>
          <w:p>
            <w:pPr>
              <w:widowControl/>
              <w:ind w:left="0" w:leftChars="0"/>
              <w:jc w:val="both"/>
              <w:rPr>
                <w:rFonts w:eastAsia="仿宋_GB2312"/>
                <w:color w:val="000000"/>
                <w:kern w:val="0"/>
                <w:szCs w:val="21"/>
              </w:rPr>
            </w:pPr>
          </w:p>
        </w:tc>
        <w:tc>
          <w:tcPr>
            <w:tcW w:w="1335" w:type="dxa"/>
            <w:shd w:val="clear" w:color="auto" w:fill="auto"/>
            <w:noWrap w:val="0"/>
            <w:vAlign w:val="top"/>
          </w:tcPr>
          <w:p>
            <w:pPr>
              <w:widowControl/>
              <w:ind w:left="0" w:leftChars="0"/>
              <w:jc w:val="both"/>
              <w:rPr>
                <w:rFonts w:eastAsia="仿宋_GB2312"/>
                <w:color w:val="000000"/>
                <w:kern w:val="0"/>
                <w:szCs w:val="21"/>
              </w:rPr>
            </w:pPr>
            <w:r>
              <w:rPr>
                <w:rFonts w:hint="eastAsia" w:eastAsia="仿宋_GB2312"/>
                <w:color w:val="000000"/>
                <w:kern w:val="0"/>
                <w:szCs w:val="21"/>
              </w:rPr>
              <w:t>打卡直发放人员及个人</w:t>
            </w:r>
            <w:r>
              <w:rPr>
                <w:rFonts w:hint="eastAsia" w:eastAsia="仿宋_GB2312"/>
                <w:color w:val="000000"/>
                <w:kern w:val="0"/>
                <w:szCs w:val="21"/>
                <w:lang w:eastAsia="zh-CN"/>
              </w:rPr>
              <w:t>工资</w:t>
            </w:r>
            <w:r>
              <w:rPr>
                <w:rFonts w:hint="eastAsia" w:eastAsia="仿宋_GB2312"/>
                <w:color w:val="000000"/>
                <w:kern w:val="0"/>
                <w:szCs w:val="21"/>
              </w:rPr>
              <w:t>，保障</w:t>
            </w:r>
            <w:r>
              <w:rPr>
                <w:rFonts w:hint="eastAsia" w:eastAsia="仿宋_GB2312"/>
                <w:color w:val="000000"/>
                <w:kern w:val="0"/>
                <w:szCs w:val="21"/>
                <w:lang w:eastAsia="zh-CN"/>
              </w:rPr>
              <w:t>机关</w:t>
            </w:r>
            <w:r>
              <w:rPr>
                <w:rFonts w:hint="eastAsia" w:eastAsia="仿宋_GB2312"/>
                <w:color w:val="000000"/>
                <w:kern w:val="0"/>
                <w:szCs w:val="21"/>
              </w:rPr>
              <w:t>正常运转、社会稳定。</w:t>
            </w:r>
          </w:p>
          <w:p>
            <w:pPr>
              <w:widowControl/>
              <w:ind w:left="0" w:leftChars="0"/>
              <w:jc w:val="both"/>
              <w:rPr>
                <w:rFonts w:eastAsia="仿宋_GB2312"/>
                <w:color w:val="000000"/>
                <w:kern w:val="0"/>
                <w:szCs w:val="21"/>
              </w:rPr>
            </w:pPr>
          </w:p>
        </w:tc>
        <w:tc>
          <w:tcPr>
            <w:tcW w:w="855" w:type="dxa"/>
            <w:shd w:val="clear" w:color="auto" w:fill="auto"/>
            <w:noWrap w:val="0"/>
            <w:vAlign w:val="center"/>
          </w:tcPr>
          <w:p>
            <w:pPr>
              <w:widowControl/>
              <w:ind w:left="0" w:leftChars="0"/>
              <w:jc w:val="both"/>
              <w:rPr>
                <w:rFonts w:hint="default" w:eastAsia="仿宋_GB2312"/>
                <w:color w:val="000000"/>
                <w:kern w:val="0"/>
                <w:szCs w:val="21"/>
                <w:lang w:val="en-US" w:eastAsia="zh-CN"/>
              </w:rPr>
            </w:pPr>
            <w:r>
              <w:rPr>
                <w:rFonts w:hint="eastAsia" w:eastAsia="仿宋_GB2312"/>
                <w:color w:val="000000"/>
                <w:kern w:val="0"/>
                <w:szCs w:val="21"/>
                <w:lang w:val="en-US" w:eastAsia="zh-CN"/>
              </w:rPr>
              <w:t>15</w:t>
            </w:r>
          </w:p>
          <w:p>
            <w:pPr>
              <w:widowControl/>
              <w:ind w:left="0" w:leftChars="0"/>
              <w:jc w:val="center"/>
              <w:rPr>
                <w:rFonts w:eastAsia="仿宋_GB2312"/>
                <w:color w:val="000000"/>
                <w:kern w:val="0"/>
                <w:szCs w:val="21"/>
              </w:rPr>
            </w:pPr>
          </w:p>
        </w:tc>
        <w:tc>
          <w:tcPr>
            <w:tcW w:w="988" w:type="dxa"/>
            <w:shd w:val="clear" w:color="auto" w:fill="auto"/>
            <w:noWrap w:val="0"/>
            <w:vAlign w:val="center"/>
          </w:tcPr>
          <w:p>
            <w:pPr>
              <w:widowControl/>
              <w:ind w:left="0" w:leftChars="0"/>
              <w:jc w:val="both"/>
              <w:rPr>
                <w:rFonts w:hint="default" w:eastAsia="仿宋_GB2312"/>
                <w:color w:val="000000"/>
                <w:kern w:val="0"/>
                <w:szCs w:val="21"/>
                <w:lang w:val="en-US" w:eastAsia="zh-CN"/>
              </w:rPr>
            </w:pPr>
            <w:r>
              <w:rPr>
                <w:rFonts w:hint="eastAsia" w:eastAsia="仿宋_GB2312"/>
                <w:color w:val="000000"/>
                <w:kern w:val="0"/>
                <w:szCs w:val="21"/>
                <w:lang w:val="en-US" w:eastAsia="zh-CN"/>
              </w:rPr>
              <w:t>15</w:t>
            </w:r>
          </w:p>
          <w:p>
            <w:pPr>
              <w:widowControl/>
              <w:ind w:left="0" w:leftChars="0"/>
              <w:jc w:val="center"/>
              <w:rPr>
                <w:rFonts w:hint="default" w:ascii="Times New Roman" w:hAnsi="Times New Roman" w:eastAsia="仿宋_GB2312" w:cs="Times New Roman"/>
                <w:color w:val="000000"/>
                <w:kern w:val="0"/>
                <w:sz w:val="21"/>
                <w:szCs w:val="21"/>
                <w:lang w:val="en-US" w:eastAsia="zh-CN" w:bidi="ar-SA"/>
              </w:rPr>
            </w:pPr>
          </w:p>
        </w:tc>
        <w:tc>
          <w:tcPr>
            <w:tcW w:w="1446" w:type="dxa"/>
            <w:shd w:val="clear" w:color="auto" w:fill="auto"/>
            <w:noWrap w:val="0"/>
            <w:vAlign w:val="center"/>
          </w:tcPr>
          <w:p>
            <w:pPr>
              <w:widowControl/>
              <w:ind w:left="0" w:leftChars="0"/>
              <w:jc w:val="center"/>
              <w:rPr>
                <w:rFonts w:eastAsia="仿宋_GB2312"/>
                <w:color w:val="000000"/>
                <w:kern w:val="0"/>
                <w:szCs w:val="21"/>
              </w:rPr>
            </w:pPr>
          </w:p>
          <w:p>
            <w:pPr>
              <w:widowControl/>
              <w:ind w:left="0" w:leftChars="0"/>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80" w:type="dxa"/>
            <w:vMerge w:val="continue"/>
            <w:shd w:val="clear" w:color="auto" w:fill="auto"/>
            <w:noWrap w:val="0"/>
            <w:vAlign w:val="center"/>
          </w:tcPr>
          <w:p>
            <w:pPr>
              <w:jc w:val="center"/>
              <w:rPr>
                <w:rFonts w:eastAsia="仿宋_GB2312"/>
                <w:color w:val="000000"/>
                <w:kern w:val="0"/>
                <w:szCs w:val="21"/>
              </w:rPr>
            </w:pPr>
          </w:p>
        </w:tc>
        <w:tc>
          <w:tcPr>
            <w:tcW w:w="974" w:type="dxa"/>
            <w:vMerge w:val="continue"/>
            <w:shd w:val="clear" w:color="auto" w:fill="auto"/>
            <w:noWrap w:val="0"/>
            <w:vAlign w:val="center"/>
          </w:tcPr>
          <w:p>
            <w:pPr>
              <w:jc w:val="left"/>
              <w:rPr>
                <w:rFonts w:eastAsia="仿宋_GB2312"/>
                <w:color w:val="000000"/>
                <w:kern w:val="0"/>
                <w:szCs w:val="21"/>
              </w:rPr>
            </w:pPr>
          </w:p>
        </w:tc>
        <w:tc>
          <w:tcPr>
            <w:tcW w:w="840" w:type="dxa"/>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1290" w:type="dxa"/>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按照«预算法»、«会计法»等财务法律法规规定控制支出；按照党风廉政建设规定规范支出。</w:t>
            </w:r>
          </w:p>
        </w:tc>
        <w:tc>
          <w:tcPr>
            <w:tcW w:w="1515" w:type="dxa"/>
            <w:gridSpan w:val="2"/>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支付公用经费，确保</w:t>
            </w:r>
            <w:r>
              <w:rPr>
                <w:rFonts w:hint="eastAsia" w:ascii="仿宋_GB2312" w:hAnsi="仿宋_GB2312" w:eastAsia="仿宋_GB2312" w:cs="仿宋_GB2312"/>
                <w:color w:val="000000"/>
                <w:kern w:val="0"/>
                <w:sz w:val="21"/>
                <w:szCs w:val="21"/>
                <w:lang w:eastAsia="zh-CN"/>
              </w:rPr>
              <w:t>机关</w:t>
            </w:r>
            <w:r>
              <w:rPr>
                <w:rFonts w:hint="eastAsia" w:ascii="仿宋_GB2312" w:hAnsi="仿宋_GB2312" w:eastAsia="仿宋_GB2312" w:cs="仿宋_GB2312"/>
                <w:color w:val="000000"/>
                <w:kern w:val="0"/>
                <w:sz w:val="21"/>
                <w:szCs w:val="21"/>
              </w:rPr>
              <w:t>日常工作正常开展。</w:t>
            </w:r>
          </w:p>
          <w:p>
            <w:pPr>
              <w:widowControl/>
              <w:ind w:left="0" w:leftChars="0"/>
              <w:jc w:val="both"/>
              <w:rPr>
                <w:rFonts w:hint="eastAsia" w:ascii="仿宋_GB2312" w:hAnsi="仿宋_GB2312" w:eastAsia="仿宋_GB2312" w:cs="仿宋_GB2312"/>
                <w:color w:val="000000"/>
                <w:kern w:val="0"/>
                <w:sz w:val="21"/>
                <w:szCs w:val="21"/>
              </w:rPr>
            </w:pPr>
          </w:p>
        </w:tc>
        <w:tc>
          <w:tcPr>
            <w:tcW w:w="1335" w:type="dxa"/>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支付公用经费，确保</w:t>
            </w:r>
            <w:r>
              <w:rPr>
                <w:rFonts w:hint="eastAsia" w:ascii="仿宋_GB2312" w:hAnsi="仿宋_GB2312" w:eastAsia="仿宋_GB2312" w:cs="仿宋_GB2312"/>
                <w:color w:val="000000"/>
                <w:kern w:val="0"/>
                <w:sz w:val="21"/>
                <w:szCs w:val="21"/>
                <w:lang w:eastAsia="zh-CN"/>
              </w:rPr>
              <w:t>机关</w:t>
            </w:r>
            <w:r>
              <w:rPr>
                <w:rFonts w:hint="eastAsia" w:ascii="仿宋_GB2312" w:hAnsi="仿宋_GB2312" w:eastAsia="仿宋_GB2312" w:cs="仿宋_GB2312"/>
                <w:color w:val="000000"/>
                <w:kern w:val="0"/>
                <w:sz w:val="21"/>
                <w:szCs w:val="21"/>
              </w:rPr>
              <w:t>日常工作正常开展</w:t>
            </w:r>
            <w:r>
              <w:rPr>
                <w:rFonts w:hint="eastAsia" w:ascii="仿宋_GB2312" w:hAnsi="仿宋_GB2312" w:eastAsia="仿宋_GB2312" w:cs="仿宋_GB2312"/>
                <w:color w:val="000000"/>
                <w:kern w:val="0"/>
                <w:sz w:val="21"/>
                <w:szCs w:val="21"/>
                <w:lang w:eastAsia="zh-CN"/>
              </w:rPr>
              <w:t>。</w:t>
            </w:r>
          </w:p>
          <w:p>
            <w:pPr>
              <w:widowControl/>
              <w:ind w:left="0" w:leftChars="0"/>
              <w:jc w:val="both"/>
              <w:rPr>
                <w:rFonts w:hint="eastAsia" w:ascii="仿宋_GB2312" w:hAnsi="仿宋_GB2312" w:eastAsia="仿宋_GB2312" w:cs="仿宋_GB2312"/>
                <w:color w:val="000000"/>
                <w:kern w:val="0"/>
                <w:sz w:val="21"/>
                <w:szCs w:val="21"/>
              </w:rPr>
            </w:pPr>
          </w:p>
        </w:tc>
        <w:tc>
          <w:tcPr>
            <w:tcW w:w="855" w:type="dxa"/>
            <w:shd w:val="clear" w:color="auto" w:fill="auto"/>
            <w:noWrap w:val="0"/>
            <w:vAlign w:val="center"/>
          </w:tcPr>
          <w:p>
            <w:pPr>
              <w:widowControl/>
              <w:ind w:left="0" w:leftChars="0"/>
              <w:jc w:val="center"/>
              <w:rPr>
                <w:rFonts w:hint="eastAsia" w:eastAsia="仿宋_GB2312"/>
                <w:color w:val="000000"/>
                <w:kern w:val="0"/>
                <w:szCs w:val="21"/>
                <w:lang w:val="en-US" w:eastAsia="zh-CN"/>
              </w:rPr>
            </w:pPr>
          </w:p>
          <w:p>
            <w:pPr>
              <w:widowControl/>
              <w:ind w:left="0" w:leftChars="0"/>
              <w:jc w:val="center"/>
              <w:rPr>
                <w:rFonts w:eastAsia="仿宋_GB2312"/>
                <w:color w:val="000000"/>
                <w:kern w:val="0"/>
                <w:szCs w:val="21"/>
              </w:rPr>
            </w:pPr>
            <w:r>
              <w:rPr>
                <w:rFonts w:hint="eastAsia" w:eastAsia="仿宋_GB2312"/>
                <w:color w:val="000000"/>
                <w:kern w:val="0"/>
                <w:szCs w:val="21"/>
                <w:lang w:val="en-US" w:eastAsia="zh-CN"/>
              </w:rPr>
              <w:t>15</w:t>
            </w:r>
          </w:p>
          <w:p>
            <w:pPr>
              <w:widowControl/>
              <w:ind w:left="0" w:leftChars="0"/>
              <w:jc w:val="center"/>
              <w:rPr>
                <w:rFonts w:eastAsia="仿宋_GB2312"/>
                <w:color w:val="000000"/>
                <w:kern w:val="0"/>
                <w:szCs w:val="21"/>
              </w:rPr>
            </w:pPr>
          </w:p>
        </w:tc>
        <w:tc>
          <w:tcPr>
            <w:tcW w:w="988" w:type="dxa"/>
            <w:shd w:val="clear" w:color="auto" w:fill="auto"/>
            <w:noWrap w:val="0"/>
            <w:vAlign w:val="center"/>
          </w:tcPr>
          <w:p>
            <w:pPr>
              <w:widowControl/>
              <w:ind w:left="0" w:leftChars="0"/>
              <w:jc w:val="center"/>
              <w:rPr>
                <w:rFonts w:hint="eastAsia" w:eastAsia="仿宋_GB2312"/>
                <w:color w:val="000000"/>
                <w:kern w:val="0"/>
                <w:szCs w:val="21"/>
                <w:lang w:val="en-US" w:eastAsia="zh-CN"/>
              </w:rPr>
            </w:pPr>
          </w:p>
          <w:p>
            <w:pPr>
              <w:widowControl/>
              <w:ind w:left="0" w:leftChars="0"/>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15</w:t>
            </w:r>
          </w:p>
          <w:p>
            <w:pPr>
              <w:widowControl/>
              <w:ind w:left="0" w:leftChars="0"/>
              <w:jc w:val="center"/>
              <w:rPr>
                <w:rFonts w:eastAsia="仿宋_GB2312"/>
                <w:color w:val="000000"/>
                <w:kern w:val="0"/>
                <w:szCs w:val="21"/>
              </w:rPr>
            </w:pPr>
          </w:p>
        </w:tc>
        <w:tc>
          <w:tcPr>
            <w:tcW w:w="1446" w:type="dxa"/>
            <w:shd w:val="clear" w:color="auto" w:fill="auto"/>
            <w:noWrap w:val="0"/>
            <w:vAlign w:val="center"/>
          </w:tcPr>
          <w:p>
            <w:pPr>
              <w:widowControl/>
              <w:ind w:left="0" w:leftChars="0"/>
              <w:jc w:val="center"/>
              <w:rPr>
                <w:rFonts w:eastAsia="仿宋_GB2312"/>
                <w:color w:val="000000"/>
                <w:kern w:val="0"/>
                <w:szCs w:val="21"/>
              </w:rPr>
            </w:pPr>
          </w:p>
          <w:p>
            <w:pPr>
              <w:widowControl/>
              <w:ind w:left="0" w:leftChars="0"/>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1080" w:type="dxa"/>
            <w:vMerge w:val="continue"/>
            <w:shd w:val="clear" w:color="auto" w:fill="auto"/>
            <w:noWrap w:val="0"/>
            <w:vAlign w:val="center"/>
          </w:tcPr>
          <w:p>
            <w:pPr>
              <w:jc w:val="center"/>
              <w:rPr>
                <w:rFonts w:eastAsia="仿宋_GB2312"/>
                <w:color w:val="000000"/>
                <w:kern w:val="0"/>
                <w:szCs w:val="21"/>
              </w:rPr>
            </w:pPr>
          </w:p>
        </w:tc>
        <w:tc>
          <w:tcPr>
            <w:tcW w:w="974" w:type="dxa"/>
            <w:vMerge w:val="continue"/>
            <w:shd w:val="clear" w:color="auto" w:fill="auto"/>
            <w:noWrap w:val="0"/>
            <w:vAlign w:val="center"/>
          </w:tcPr>
          <w:p>
            <w:pPr>
              <w:jc w:val="left"/>
              <w:rPr>
                <w:rFonts w:eastAsia="仿宋_GB2312"/>
                <w:color w:val="000000"/>
                <w:kern w:val="0"/>
                <w:szCs w:val="21"/>
              </w:rPr>
            </w:pPr>
          </w:p>
        </w:tc>
        <w:tc>
          <w:tcPr>
            <w:tcW w:w="840" w:type="dxa"/>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时效</w:t>
            </w:r>
          </w:p>
          <w:p>
            <w:pPr>
              <w:widowControl/>
              <w:jc w:val="center"/>
              <w:rPr>
                <w:rFonts w:eastAsia="仿宋_GB2312"/>
                <w:color w:val="000000"/>
                <w:kern w:val="0"/>
                <w:szCs w:val="21"/>
              </w:rPr>
            </w:pPr>
            <w:r>
              <w:rPr>
                <w:rFonts w:eastAsia="仿宋_GB2312"/>
                <w:color w:val="000000"/>
                <w:kern w:val="0"/>
                <w:szCs w:val="21"/>
              </w:rPr>
              <w:t>指标</w:t>
            </w:r>
          </w:p>
        </w:tc>
        <w:tc>
          <w:tcPr>
            <w:tcW w:w="1290" w:type="dxa"/>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按照«预算法»、«会计法»等财务法律法规规定以及党风廉政建设规定及时安排经费支出。</w:t>
            </w:r>
          </w:p>
        </w:tc>
        <w:tc>
          <w:tcPr>
            <w:tcW w:w="1515" w:type="dxa"/>
            <w:gridSpan w:val="2"/>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确保各项基本支出合规合法，及时到位，促进各项工作任务顺利完成。</w:t>
            </w:r>
          </w:p>
          <w:p>
            <w:pPr>
              <w:widowControl/>
              <w:ind w:left="0" w:leftChars="0"/>
              <w:jc w:val="both"/>
              <w:rPr>
                <w:rFonts w:hint="eastAsia" w:ascii="仿宋_GB2312" w:hAnsi="仿宋_GB2312" w:eastAsia="仿宋_GB2312" w:cs="仿宋_GB2312"/>
                <w:color w:val="000000"/>
                <w:kern w:val="0"/>
                <w:sz w:val="21"/>
                <w:szCs w:val="21"/>
              </w:rPr>
            </w:pPr>
          </w:p>
        </w:tc>
        <w:tc>
          <w:tcPr>
            <w:tcW w:w="1335" w:type="dxa"/>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确保各项基本支出合规合法，基本及时到位，促进了各项工作任务顺利完成。</w:t>
            </w:r>
          </w:p>
        </w:tc>
        <w:tc>
          <w:tcPr>
            <w:tcW w:w="855" w:type="dxa"/>
            <w:shd w:val="clear" w:color="auto" w:fill="auto"/>
            <w:noWrap w:val="0"/>
            <w:vAlign w:val="center"/>
          </w:tcPr>
          <w:p>
            <w:pPr>
              <w:widowControl/>
              <w:ind w:left="0" w:leftChars="0"/>
              <w:jc w:val="center"/>
              <w:rPr>
                <w:rFonts w:hint="eastAsia" w:eastAsia="仿宋_GB2312"/>
                <w:color w:val="000000"/>
                <w:kern w:val="0"/>
                <w:szCs w:val="21"/>
                <w:lang w:val="en-US" w:eastAsia="zh-CN"/>
              </w:rPr>
            </w:pPr>
          </w:p>
          <w:p>
            <w:pPr>
              <w:widowControl/>
              <w:ind w:left="0" w:leftChars="0"/>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p>
            <w:pPr>
              <w:widowControl/>
              <w:ind w:left="0" w:leftChars="0"/>
              <w:jc w:val="center"/>
              <w:rPr>
                <w:rFonts w:eastAsia="仿宋_GB2312"/>
                <w:color w:val="000000"/>
                <w:kern w:val="0"/>
                <w:szCs w:val="21"/>
              </w:rPr>
            </w:pPr>
          </w:p>
        </w:tc>
        <w:tc>
          <w:tcPr>
            <w:tcW w:w="988" w:type="dxa"/>
            <w:shd w:val="clear" w:color="auto" w:fill="auto"/>
            <w:noWrap w:val="0"/>
            <w:vAlign w:val="center"/>
          </w:tcPr>
          <w:p>
            <w:pPr>
              <w:widowControl/>
              <w:ind w:left="0" w:leftChars="0"/>
              <w:jc w:val="center"/>
              <w:rPr>
                <w:rFonts w:hint="default" w:eastAsia="仿宋_GB2312"/>
                <w:color w:val="000000"/>
                <w:kern w:val="0"/>
                <w:szCs w:val="21"/>
                <w:lang w:val="en-US"/>
              </w:rPr>
            </w:pPr>
            <w:r>
              <w:rPr>
                <w:rFonts w:hint="eastAsia" w:eastAsia="仿宋_GB2312"/>
                <w:color w:val="000000"/>
                <w:kern w:val="0"/>
                <w:szCs w:val="21"/>
                <w:lang w:val="en-US" w:eastAsia="zh-CN"/>
              </w:rPr>
              <w:t>10</w:t>
            </w:r>
          </w:p>
        </w:tc>
        <w:tc>
          <w:tcPr>
            <w:tcW w:w="1446" w:type="dxa"/>
            <w:shd w:val="clear" w:color="auto" w:fill="auto"/>
            <w:noWrap w:val="0"/>
            <w:vAlign w:val="center"/>
          </w:tcPr>
          <w:p>
            <w:pPr>
              <w:widowControl/>
              <w:ind w:left="0" w:leftChars="0"/>
              <w:jc w:val="center"/>
              <w:rPr>
                <w:rFonts w:eastAsia="仿宋_GB2312"/>
                <w:color w:val="000000"/>
                <w:kern w:val="0"/>
                <w:szCs w:val="21"/>
              </w:rPr>
            </w:pPr>
          </w:p>
          <w:p>
            <w:pPr>
              <w:widowControl/>
              <w:ind w:left="0" w:leftChars="0"/>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80" w:type="dxa"/>
            <w:vMerge w:val="continue"/>
            <w:shd w:val="clear" w:color="auto" w:fill="auto"/>
            <w:noWrap w:val="0"/>
            <w:vAlign w:val="center"/>
          </w:tcPr>
          <w:p>
            <w:pPr>
              <w:jc w:val="center"/>
              <w:rPr>
                <w:rFonts w:eastAsia="仿宋_GB2312"/>
                <w:color w:val="000000"/>
                <w:kern w:val="0"/>
                <w:szCs w:val="21"/>
              </w:rPr>
            </w:pPr>
          </w:p>
        </w:tc>
        <w:tc>
          <w:tcPr>
            <w:tcW w:w="974" w:type="dxa"/>
            <w:vMerge w:val="continue"/>
            <w:shd w:val="clear" w:color="auto" w:fill="auto"/>
            <w:noWrap w:val="0"/>
            <w:vAlign w:val="center"/>
          </w:tcPr>
          <w:p>
            <w:pPr>
              <w:jc w:val="left"/>
              <w:rPr>
                <w:rFonts w:eastAsia="仿宋_GB2312"/>
                <w:color w:val="000000"/>
                <w:kern w:val="0"/>
                <w:szCs w:val="21"/>
              </w:rPr>
            </w:pPr>
          </w:p>
        </w:tc>
        <w:tc>
          <w:tcPr>
            <w:tcW w:w="840" w:type="dxa"/>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成本</w:t>
            </w:r>
          </w:p>
          <w:p>
            <w:pPr>
              <w:widowControl/>
              <w:jc w:val="center"/>
              <w:rPr>
                <w:rFonts w:eastAsia="仿宋_GB2312"/>
                <w:color w:val="000000"/>
                <w:kern w:val="0"/>
                <w:szCs w:val="21"/>
              </w:rPr>
            </w:pPr>
            <w:r>
              <w:rPr>
                <w:rFonts w:eastAsia="仿宋_GB2312"/>
                <w:color w:val="000000"/>
                <w:kern w:val="0"/>
                <w:szCs w:val="21"/>
              </w:rPr>
              <w:t>指标</w:t>
            </w:r>
          </w:p>
        </w:tc>
        <w:tc>
          <w:tcPr>
            <w:tcW w:w="1290" w:type="dxa"/>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人员经费、日常公用经费、村</w:t>
            </w:r>
            <w:r>
              <w:rPr>
                <w:rFonts w:hint="eastAsia" w:ascii="仿宋_GB2312" w:hAnsi="仿宋_GB2312" w:eastAsia="仿宋_GB2312" w:cs="仿宋_GB2312"/>
                <w:color w:val="000000"/>
                <w:kern w:val="0"/>
                <w:sz w:val="21"/>
                <w:szCs w:val="21"/>
                <w:lang w:eastAsia="zh-CN"/>
              </w:rPr>
              <w:t>社区</w:t>
            </w:r>
            <w:r>
              <w:rPr>
                <w:rFonts w:hint="eastAsia" w:ascii="仿宋_GB2312" w:hAnsi="仿宋_GB2312" w:eastAsia="仿宋_GB2312" w:cs="仿宋_GB2312"/>
                <w:color w:val="000000"/>
                <w:kern w:val="0"/>
                <w:sz w:val="21"/>
                <w:szCs w:val="21"/>
              </w:rPr>
              <w:t>干部补助。</w:t>
            </w:r>
          </w:p>
        </w:tc>
        <w:tc>
          <w:tcPr>
            <w:tcW w:w="1515" w:type="dxa"/>
            <w:gridSpan w:val="2"/>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人员经费、日常公用经费、村</w:t>
            </w:r>
            <w:r>
              <w:rPr>
                <w:rFonts w:hint="eastAsia" w:ascii="仿宋_GB2312" w:hAnsi="仿宋_GB2312" w:eastAsia="仿宋_GB2312" w:cs="仿宋_GB2312"/>
                <w:color w:val="000000"/>
                <w:kern w:val="0"/>
                <w:sz w:val="21"/>
                <w:szCs w:val="21"/>
                <w:lang w:eastAsia="zh-CN"/>
              </w:rPr>
              <w:t>社区</w:t>
            </w:r>
            <w:r>
              <w:rPr>
                <w:rFonts w:hint="eastAsia" w:ascii="仿宋_GB2312" w:hAnsi="仿宋_GB2312" w:eastAsia="仿宋_GB2312" w:cs="仿宋_GB2312"/>
                <w:color w:val="000000"/>
                <w:kern w:val="0"/>
                <w:sz w:val="21"/>
                <w:szCs w:val="21"/>
              </w:rPr>
              <w:t>干部补助</w:t>
            </w:r>
            <w:r>
              <w:rPr>
                <w:rFonts w:hint="eastAsia" w:ascii="仿宋_GB2312" w:hAnsi="仿宋_GB2312" w:eastAsia="仿宋_GB2312" w:cs="仿宋_GB2312"/>
                <w:color w:val="000000"/>
                <w:kern w:val="0"/>
                <w:sz w:val="21"/>
                <w:szCs w:val="21"/>
                <w:lang w:eastAsia="zh-CN"/>
              </w:rPr>
              <w:t>。</w:t>
            </w:r>
          </w:p>
        </w:tc>
        <w:tc>
          <w:tcPr>
            <w:tcW w:w="1335" w:type="dxa"/>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人员经费、日常公用经费、村</w:t>
            </w:r>
            <w:r>
              <w:rPr>
                <w:rFonts w:hint="eastAsia" w:ascii="仿宋_GB2312" w:hAnsi="仿宋_GB2312" w:eastAsia="仿宋_GB2312" w:cs="仿宋_GB2312"/>
                <w:color w:val="000000"/>
                <w:kern w:val="0"/>
                <w:sz w:val="21"/>
                <w:szCs w:val="21"/>
                <w:lang w:eastAsia="zh-CN"/>
              </w:rPr>
              <w:t>社区</w:t>
            </w:r>
            <w:r>
              <w:rPr>
                <w:rFonts w:hint="eastAsia" w:ascii="仿宋_GB2312" w:hAnsi="仿宋_GB2312" w:eastAsia="仿宋_GB2312" w:cs="仿宋_GB2312"/>
                <w:color w:val="000000"/>
                <w:kern w:val="0"/>
                <w:sz w:val="21"/>
                <w:szCs w:val="21"/>
              </w:rPr>
              <w:t>干部补助</w:t>
            </w:r>
            <w:r>
              <w:rPr>
                <w:rFonts w:hint="eastAsia" w:ascii="仿宋_GB2312" w:hAnsi="仿宋_GB2312" w:eastAsia="仿宋_GB2312" w:cs="仿宋_GB2312"/>
                <w:color w:val="000000"/>
                <w:kern w:val="0"/>
                <w:sz w:val="21"/>
                <w:szCs w:val="21"/>
                <w:lang w:eastAsia="zh-CN"/>
              </w:rPr>
              <w:t>。</w:t>
            </w:r>
          </w:p>
          <w:p>
            <w:pPr>
              <w:widowControl/>
              <w:ind w:left="0" w:leftChars="0"/>
              <w:jc w:val="both"/>
              <w:rPr>
                <w:rFonts w:hint="eastAsia" w:ascii="仿宋_GB2312" w:hAnsi="仿宋_GB2312" w:eastAsia="仿宋_GB2312" w:cs="仿宋_GB2312"/>
                <w:color w:val="000000"/>
                <w:kern w:val="0"/>
                <w:sz w:val="21"/>
                <w:szCs w:val="21"/>
              </w:rPr>
            </w:pPr>
          </w:p>
        </w:tc>
        <w:tc>
          <w:tcPr>
            <w:tcW w:w="855" w:type="dxa"/>
            <w:shd w:val="clear" w:color="auto" w:fill="auto"/>
            <w:noWrap w:val="0"/>
            <w:vAlign w:val="center"/>
          </w:tcPr>
          <w:p>
            <w:pPr>
              <w:widowControl/>
              <w:ind w:left="0" w:leftChars="0"/>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988" w:type="dxa"/>
            <w:shd w:val="clear" w:color="auto" w:fill="auto"/>
            <w:noWrap w:val="0"/>
            <w:vAlign w:val="center"/>
          </w:tcPr>
          <w:p>
            <w:pPr>
              <w:widowControl/>
              <w:ind w:left="0" w:leftChars="0"/>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shd w:val="clear" w:color="auto" w:fill="auto"/>
            <w:noWrap w:val="0"/>
            <w:vAlign w:val="center"/>
          </w:tcPr>
          <w:p>
            <w:pPr>
              <w:widowControl/>
              <w:ind w:left="0" w:leftChars="0"/>
              <w:jc w:val="center"/>
              <w:rPr>
                <w:rFonts w:eastAsia="仿宋_GB2312"/>
                <w:color w:val="000000"/>
                <w:kern w:val="0"/>
                <w:szCs w:val="21"/>
              </w:rPr>
            </w:pPr>
          </w:p>
          <w:p>
            <w:pPr>
              <w:widowControl/>
              <w:ind w:left="0" w:leftChars="0"/>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80" w:type="dxa"/>
            <w:vMerge w:val="continue"/>
            <w:shd w:val="clear" w:color="auto" w:fill="auto"/>
            <w:noWrap w:val="0"/>
            <w:vAlign w:val="center"/>
          </w:tcPr>
          <w:p>
            <w:pPr>
              <w:jc w:val="center"/>
              <w:rPr>
                <w:rFonts w:eastAsia="仿宋_GB2312"/>
                <w:color w:val="000000"/>
                <w:kern w:val="0"/>
                <w:szCs w:val="21"/>
              </w:rPr>
            </w:pPr>
          </w:p>
        </w:tc>
        <w:tc>
          <w:tcPr>
            <w:tcW w:w="974" w:type="dxa"/>
            <w:vMerge w:val="restart"/>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效益指标</w:t>
            </w:r>
          </w:p>
          <w:p>
            <w:pPr>
              <w:widowControl/>
              <w:ind w:firstLine="210" w:firstLineChars="100"/>
              <w:jc w:val="left"/>
              <w:rPr>
                <w:rFonts w:eastAsia="仿宋_GB2312"/>
                <w:color w:val="000000"/>
                <w:kern w:val="0"/>
                <w:szCs w:val="21"/>
              </w:rPr>
            </w:pPr>
            <w:r>
              <w:rPr>
                <w:rFonts w:eastAsia="仿宋_GB2312"/>
                <w:color w:val="000000"/>
                <w:kern w:val="0"/>
                <w:szCs w:val="21"/>
              </w:rPr>
              <w:t>（30分）　</w:t>
            </w:r>
          </w:p>
        </w:tc>
        <w:tc>
          <w:tcPr>
            <w:tcW w:w="840" w:type="dxa"/>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290" w:type="dxa"/>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严格预算成本控制，提高政府办事效益。</w:t>
            </w:r>
          </w:p>
        </w:tc>
        <w:tc>
          <w:tcPr>
            <w:tcW w:w="1515" w:type="dxa"/>
            <w:gridSpan w:val="2"/>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按时按质按量完成政府各项工作任务，严格按预算就是成本核算</w:t>
            </w:r>
            <w:r>
              <w:rPr>
                <w:rFonts w:hint="eastAsia" w:ascii="仿宋_GB2312" w:hAnsi="仿宋_GB2312" w:eastAsia="仿宋_GB2312" w:cs="仿宋_GB2312"/>
                <w:color w:val="000000"/>
                <w:kern w:val="0"/>
                <w:sz w:val="21"/>
                <w:szCs w:val="21"/>
                <w:lang w:eastAsia="zh-CN"/>
              </w:rPr>
              <w:t>。</w:t>
            </w:r>
          </w:p>
          <w:p>
            <w:pPr>
              <w:widowControl/>
              <w:ind w:left="0" w:leftChars="0"/>
              <w:jc w:val="both"/>
              <w:rPr>
                <w:rFonts w:hint="eastAsia" w:ascii="仿宋_GB2312" w:hAnsi="仿宋_GB2312" w:eastAsia="仿宋_GB2312" w:cs="仿宋_GB2312"/>
                <w:color w:val="000000"/>
                <w:kern w:val="0"/>
                <w:sz w:val="21"/>
                <w:szCs w:val="21"/>
              </w:rPr>
            </w:pPr>
          </w:p>
        </w:tc>
        <w:tc>
          <w:tcPr>
            <w:tcW w:w="1335" w:type="dxa"/>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按时按质按量完成政府各项工作任务，严格按预算就是成本核算。</w:t>
            </w:r>
          </w:p>
          <w:p>
            <w:pPr>
              <w:widowControl/>
              <w:ind w:left="0" w:leftChars="0"/>
              <w:jc w:val="both"/>
              <w:rPr>
                <w:rFonts w:hint="eastAsia" w:ascii="仿宋_GB2312" w:hAnsi="仿宋_GB2312" w:eastAsia="仿宋_GB2312" w:cs="仿宋_GB2312"/>
                <w:color w:val="000000"/>
                <w:kern w:val="0"/>
                <w:sz w:val="21"/>
                <w:szCs w:val="21"/>
              </w:rPr>
            </w:pPr>
          </w:p>
        </w:tc>
        <w:tc>
          <w:tcPr>
            <w:tcW w:w="855" w:type="dxa"/>
            <w:shd w:val="clear" w:color="auto" w:fill="auto"/>
            <w:noWrap w:val="0"/>
            <w:vAlign w:val="center"/>
          </w:tcPr>
          <w:p>
            <w:pPr>
              <w:widowControl/>
              <w:ind w:left="0" w:leftChars="0"/>
              <w:jc w:val="center"/>
              <w:rPr>
                <w:rFonts w:hint="eastAsia" w:eastAsia="仿宋_GB2312"/>
                <w:color w:val="000000"/>
                <w:kern w:val="0"/>
                <w:szCs w:val="21"/>
                <w:lang w:val="en-US" w:eastAsia="zh-CN"/>
              </w:rPr>
            </w:pPr>
          </w:p>
          <w:p>
            <w:pPr>
              <w:widowControl/>
              <w:ind w:left="0" w:leftChars="0"/>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8</w:t>
            </w:r>
          </w:p>
          <w:p>
            <w:pPr>
              <w:widowControl/>
              <w:ind w:left="0" w:leftChars="0"/>
              <w:jc w:val="center"/>
              <w:rPr>
                <w:rFonts w:eastAsia="仿宋_GB2312"/>
                <w:color w:val="000000"/>
                <w:kern w:val="0"/>
                <w:szCs w:val="21"/>
              </w:rPr>
            </w:pPr>
          </w:p>
        </w:tc>
        <w:tc>
          <w:tcPr>
            <w:tcW w:w="988" w:type="dxa"/>
            <w:shd w:val="clear" w:color="auto" w:fill="auto"/>
            <w:noWrap w:val="0"/>
            <w:vAlign w:val="center"/>
          </w:tcPr>
          <w:p>
            <w:pPr>
              <w:widowControl/>
              <w:ind w:left="0" w:leftChars="0"/>
              <w:jc w:val="center"/>
              <w:rPr>
                <w:rFonts w:eastAsia="仿宋_GB2312"/>
                <w:color w:val="000000"/>
                <w:kern w:val="0"/>
                <w:szCs w:val="21"/>
              </w:rPr>
            </w:pPr>
            <w:r>
              <w:rPr>
                <w:rFonts w:hint="eastAsia" w:eastAsia="仿宋_GB2312"/>
                <w:color w:val="000000"/>
                <w:kern w:val="0"/>
                <w:szCs w:val="21"/>
                <w:lang w:val="en-US" w:eastAsia="zh-CN"/>
              </w:rPr>
              <w:t>8</w:t>
            </w:r>
          </w:p>
        </w:tc>
        <w:tc>
          <w:tcPr>
            <w:tcW w:w="1446" w:type="dxa"/>
            <w:shd w:val="clear" w:color="auto" w:fill="auto"/>
            <w:noWrap w:val="0"/>
            <w:vAlign w:val="center"/>
          </w:tcPr>
          <w:p>
            <w:pPr>
              <w:widowControl/>
              <w:ind w:left="0" w:leftChars="0"/>
              <w:jc w:val="center"/>
              <w:rPr>
                <w:rFonts w:eastAsia="仿宋_GB2312"/>
                <w:color w:val="000000"/>
                <w:kern w:val="0"/>
                <w:szCs w:val="21"/>
              </w:rPr>
            </w:pPr>
          </w:p>
          <w:p>
            <w:pPr>
              <w:widowControl/>
              <w:ind w:left="0" w:leftChars="0"/>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80" w:type="dxa"/>
            <w:vMerge w:val="continue"/>
            <w:shd w:val="clear" w:color="auto" w:fill="auto"/>
            <w:noWrap w:val="0"/>
            <w:vAlign w:val="center"/>
          </w:tcPr>
          <w:p>
            <w:pPr>
              <w:jc w:val="center"/>
              <w:rPr>
                <w:rFonts w:eastAsia="仿宋_GB2312"/>
                <w:color w:val="000000"/>
                <w:kern w:val="0"/>
                <w:szCs w:val="21"/>
              </w:rPr>
            </w:pPr>
          </w:p>
        </w:tc>
        <w:tc>
          <w:tcPr>
            <w:tcW w:w="974" w:type="dxa"/>
            <w:vMerge w:val="continue"/>
            <w:shd w:val="clear" w:color="auto" w:fill="auto"/>
            <w:noWrap w:val="0"/>
            <w:vAlign w:val="center"/>
          </w:tcPr>
          <w:p>
            <w:pPr>
              <w:jc w:val="left"/>
              <w:rPr>
                <w:rFonts w:eastAsia="仿宋_GB2312"/>
                <w:color w:val="000000"/>
                <w:kern w:val="0"/>
                <w:szCs w:val="21"/>
              </w:rPr>
            </w:pPr>
          </w:p>
        </w:tc>
        <w:tc>
          <w:tcPr>
            <w:tcW w:w="840" w:type="dxa"/>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290" w:type="dxa"/>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推动各项</w:t>
            </w:r>
            <w:r>
              <w:rPr>
                <w:rFonts w:hint="eastAsia" w:ascii="仿宋_GB2312" w:hAnsi="仿宋_GB2312" w:eastAsia="仿宋_GB2312" w:cs="仿宋_GB2312"/>
                <w:color w:val="000000"/>
                <w:kern w:val="0"/>
                <w:sz w:val="21"/>
                <w:szCs w:val="21"/>
                <w:lang w:eastAsia="zh-CN"/>
              </w:rPr>
              <w:t>工作</w:t>
            </w:r>
            <w:r>
              <w:rPr>
                <w:rFonts w:hint="eastAsia" w:ascii="仿宋_GB2312" w:hAnsi="仿宋_GB2312" w:eastAsia="仿宋_GB2312" w:cs="仿宋_GB2312"/>
                <w:color w:val="000000"/>
                <w:kern w:val="0"/>
                <w:sz w:val="21"/>
                <w:szCs w:val="21"/>
              </w:rPr>
              <w:t>顺利进行。</w:t>
            </w:r>
          </w:p>
        </w:tc>
        <w:tc>
          <w:tcPr>
            <w:tcW w:w="1515" w:type="dxa"/>
            <w:gridSpan w:val="2"/>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及时揭示问题，促进有关方面加强管理，建立健全相关制度。</w:t>
            </w:r>
          </w:p>
          <w:p>
            <w:pPr>
              <w:widowControl/>
              <w:ind w:left="0" w:leftChars="0"/>
              <w:jc w:val="both"/>
              <w:rPr>
                <w:rFonts w:hint="eastAsia" w:ascii="仿宋_GB2312" w:hAnsi="仿宋_GB2312" w:eastAsia="仿宋_GB2312" w:cs="仿宋_GB2312"/>
                <w:color w:val="000000"/>
                <w:kern w:val="0"/>
                <w:sz w:val="21"/>
                <w:szCs w:val="21"/>
              </w:rPr>
            </w:pPr>
          </w:p>
        </w:tc>
        <w:tc>
          <w:tcPr>
            <w:tcW w:w="1335" w:type="dxa"/>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及时揭示问题，促进有关方面加强管理，建立健全相关基本制度。</w:t>
            </w:r>
          </w:p>
          <w:p>
            <w:pPr>
              <w:widowControl/>
              <w:ind w:left="0" w:leftChars="0"/>
              <w:jc w:val="both"/>
              <w:rPr>
                <w:rFonts w:hint="eastAsia" w:ascii="仿宋_GB2312" w:hAnsi="仿宋_GB2312" w:eastAsia="仿宋_GB2312" w:cs="仿宋_GB2312"/>
                <w:color w:val="000000"/>
                <w:kern w:val="0"/>
                <w:sz w:val="21"/>
                <w:szCs w:val="21"/>
              </w:rPr>
            </w:pPr>
          </w:p>
        </w:tc>
        <w:tc>
          <w:tcPr>
            <w:tcW w:w="855" w:type="dxa"/>
            <w:shd w:val="clear" w:color="auto" w:fill="auto"/>
            <w:noWrap w:val="0"/>
            <w:vAlign w:val="center"/>
          </w:tcPr>
          <w:p>
            <w:pPr>
              <w:widowControl/>
              <w:ind w:left="0" w:leftChars="0"/>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8</w:t>
            </w:r>
          </w:p>
        </w:tc>
        <w:tc>
          <w:tcPr>
            <w:tcW w:w="988" w:type="dxa"/>
            <w:shd w:val="clear" w:color="auto" w:fill="auto"/>
            <w:noWrap w:val="0"/>
            <w:vAlign w:val="center"/>
          </w:tcPr>
          <w:p>
            <w:pPr>
              <w:widowControl/>
              <w:ind w:left="0" w:leftChars="0"/>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8</w:t>
            </w:r>
          </w:p>
        </w:tc>
        <w:tc>
          <w:tcPr>
            <w:tcW w:w="1446" w:type="dxa"/>
            <w:shd w:val="clear" w:color="auto" w:fill="auto"/>
            <w:noWrap w:val="0"/>
            <w:vAlign w:val="center"/>
          </w:tcPr>
          <w:p>
            <w:pPr>
              <w:widowControl/>
              <w:ind w:left="0" w:leftChars="0"/>
              <w:jc w:val="center"/>
              <w:rPr>
                <w:rFonts w:eastAsia="仿宋_GB2312"/>
                <w:color w:val="000000"/>
                <w:kern w:val="0"/>
                <w:szCs w:val="21"/>
              </w:rPr>
            </w:pPr>
          </w:p>
          <w:p>
            <w:pPr>
              <w:widowControl/>
              <w:ind w:left="0" w:leftChars="0"/>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80" w:type="dxa"/>
            <w:vMerge w:val="continue"/>
            <w:shd w:val="clear" w:color="auto" w:fill="auto"/>
            <w:noWrap w:val="0"/>
            <w:vAlign w:val="center"/>
          </w:tcPr>
          <w:p>
            <w:pPr>
              <w:jc w:val="center"/>
              <w:rPr>
                <w:rFonts w:eastAsia="仿宋_GB2312"/>
                <w:color w:val="000000"/>
                <w:kern w:val="0"/>
                <w:szCs w:val="21"/>
              </w:rPr>
            </w:pPr>
          </w:p>
        </w:tc>
        <w:tc>
          <w:tcPr>
            <w:tcW w:w="974" w:type="dxa"/>
            <w:vMerge w:val="continue"/>
            <w:shd w:val="clear" w:color="auto" w:fill="auto"/>
            <w:noWrap w:val="0"/>
            <w:vAlign w:val="center"/>
          </w:tcPr>
          <w:p>
            <w:pPr>
              <w:jc w:val="left"/>
              <w:rPr>
                <w:rFonts w:eastAsia="仿宋_GB2312"/>
                <w:color w:val="000000"/>
                <w:kern w:val="0"/>
                <w:szCs w:val="21"/>
              </w:rPr>
            </w:pPr>
          </w:p>
        </w:tc>
        <w:tc>
          <w:tcPr>
            <w:tcW w:w="840" w:type="dxa"/>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290" w:type="dxa"/>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坚持绿色发展理念。</w:t>
            </w:r>
          </w:p>
        </w:tc>
        <w:tc>
          <w:tcPr>
            <w:tcW w:w="1515" w:type="dxa"/>
            <w:gridSpan w:val="2"/>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rPr>
            </w:pPr>
          </w:p>
          <w:p>
            <w:pPr>
              <w:widowControl/>
              <w:ind w:left="0" w:leftChars="0"/>
              <w:jc w:val="both"/>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重点关注便民服务项目中涉及环保方面政策落实情况。</w:t>
            </w:r>
          </w:p>
        </w:tc>
        <w:tc>
          <w:tcPr>
            <w:tcW w:w="1335" w:type="dxa"/>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rPr>
            </w:pPr>
          </w:p>
          <w:p>
            <w:pPr>
              <w:widowControl/>
              <w:ind w:left="0" w:leftChars="0"/>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重点关注便民服务项目中涉及环保方面政策落实情况。</w:t>
            </w:r>
          </w:p>
        </w:tc>
        <w:tc>
          <w:tcPr>
            <w:tcW w:w="855" w:type="dxa"/>
            <w:shd w:val="clear" w:color="auto" w:fill="auto"/>
            <w:noWrap w:val="0"/>
            <w:vAlign w:val="center"/>
          </w:tcPr>
          <w:p>
            <w:pPr>
              <w:widowControl/>
              <w:ind w:left="0" w:leftChars="0"/>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8</w:t>
            </w:r>
          </w:p>
        </w:tc>
        <w:tc>
          <w:tcPr>
            <w:tcW w:w="988" w:type="dxa"/>
            <w:shd w:val="clear" w:color="auto" w:fill="auto"/>
            <w:noWrap w:val="0"/>
            <w:vAlign w:val="center"/>
          </w:tcPr>
          <w:p>
            <w:pPr>
              <w:widowControl/>
              <w:ind w:left="0" w:leftChars="0"/>
              <w:jc w:val="center"/>
              <w:rPr>
                <w:rFonts w:hint="default" w:ascii="Times New Roman" w:hAnsi="Times New Roman" w:eastAsia="仿宋_GB2312" w:cs="Times New Roman"/>
                <w:color w:val="000000"/>
                <w:kern w:val="0"/>
                <w:sz w:val="21"/>
                <w:szCs w:val="21"/>
                <w:lang w:val="en-US" w:eastAsia="zh-CN" w:bidi="ar-SA"/>
              </w:rPr>
            </w:pPr>
            <w:r>
              <w:rPr>
                <w:rFonts w:hint="default" w:eastAsia="仿宋_GB2312" w:cs="Times New Roman" w:asciiTheme="minorAscii" w:hAnsiTheme="minorAscii"/>
                <w:color w:val="000000"/>
                <w:kern w:val="0"/>
                <w:sz w:val="21"/>
                <w:szCs w:val="21"/>
                <w:lang w:val="en-US" w:eastAsia="zh-CN" w:bidi="ar-SA"/>
              </w:rPr>
              <w:t>8</w:t>
            </w:r>
          </w:p>
        </w:tc>
        <w:tc>
          <w:tcPr>
            <w:tcW w:w="1446" w:type="dxa"/>
            <w:shd w:val="clear" w:color="auto" w:fill="auto"/>
            <w:noWrap w:val="0"/>
            <w:vAlign w:val="center"/>
          </w:tcPr>
          <w:p>
            <w:pPr>
              <w:widowControl/>
              <w:ind w:left="0" w:leftChars="0"/>
              <w:jc w:val="center"/>
              <w:rPr>
                <w:rFonts w:eastAsia="仿宋_GB2312"/>
                <w:color w:val="000000"/>
                <w:kern w:val="0"/>
                <w:szCs w:val="21"/>
              </w:rPr>
            </w:pPr>
          </w:p>
          <w:p>
            <w:pPr>
              <w:widowControl/>
              <w:ind w:left="0" w:leftChars="0"/>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80" w:type="dxa"/>
            <w:vMerge w:val="continue"/>
            <w:shd w:val="clear" w:color="auto" w:fill="auto"/>
            <w:noWrap w:val="0"/>
            <w:vAlign w:val="center"/>
          </w:tcPr>
          <w:p>
            <w:pPr>
              <w:widowControl/>
              <w:jc w:val="center"/>
              <w:rPr>
                <w:rFonts w:eastAsia="仿宋_GB2312"/>
                <w:color w:val="000000"/>
                <w:kern w:val="0"/>
                <w:szCs w:val="21"/>
              </w:rPr>
            </w:pPr>
          </w:p>
        </w:tc>
        <w:tc>
          <w:tcPr>
            <w:tcW w:w="974" w:type="dxa"/>
            <w:vMerge w:val="continue"/>
            <w:shd w:val="clear" w:color="auto" w:fill="auto"/>
            <w:noWrap w:val="0"/>
            <w:vAlign w:val="center"/>
          </w:tcPr>
          <w:p>
            <w:pPr>
              <w:widowControl/>
              <w:jc w:val="left"/>
              <w:rPr>
                <w:rFonts w:eastAsia="仿宋_GB2312"/>
                <w:color w:val="000000"/>
                <w:kern w:val="0"/>
                <w:szCs w:val="21"/>
              </w:rPr>
            </w:pPr>
          </w:p>
        </w:tc>
        <w:tc>
          <w:tcPr>
            <w:tcW w:w="840" w:type="dxa"/>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290" w:type="dxa"/>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促进相关政策落地落实。</w:t>
            </w:r>
          </w:p>
        </w:tc>
        <w:tc>
          <w:tcPr>
            <w:tcW w:w="1515" w:type="dxa"/>
            <w:gridSpan w:val="2"/>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通过检查、调查揭示问题，分析原因，提出建议，相关政策完全落实。</w:t>
            </w:r>
          </w:p>
        </w:tc>
        <w:tc>
          <w:tcPr>
            <w:tcW w:w="1335" w:type="dxa"/>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通过检查、调查揭示问题，分析原因，提出建议，相关政策基本落实。</w:t>
            </w:r>
          </w:p>
        </w:tc>
        <w:tc>
          <w:tcPr>
            <w:tcW w:w="855" w:type="dxa"/>
            <w:shd w:val="clear" w:color="auto" w:fill="auto"/>
            <w:noWrap w:val="0"/>
            <w:vAlign w:val="center"/>
          </w:tcPr>
          <w:p>
            <w:pPr>
              <w:widowControl/>
              <w:ind w:left="0" w:leftChars="0"/>
              <w:jc w:val="center"/>
              <w:rPr>
                <w:rFonts w:hint="eastAsia" w:eastAsia="仿宋_GB2312"/>
                <w:color w:val="000000"/>
                <w:kern w:val="0"/>
                <w:szCs w:val="21"/>
                <w:lang w:val="en-US" w:eastAsia="zh-CN"/>
              </w:rPr>
            </w:pPr>
          </w:p>
          <w:p>
            <w:pPr>
              <w:widowControl/>
              <w:ind w:left="0" w:leftChars="0"/>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6</w:t>
            </w:r>
          </w:p>
          <w:p>
            <w:pPr>
              <w:widowControl/>
              <w:ind w:left="0" w:leftChars="0"/>
              <w:jc w:val="center"/>
              <w:rPr>
                <w:rFonts w:eastAsia="仿宋_GB2312"/>
                <w:color w:val="000000"/>
                <w:kern w:val="0"/>
                <w:szCs w:val="21"/>
              </w:rPr>
            </w:pPr>
          </w:p>
        </w:tc>
        <w:tc>
          <w:tcPr>
            <w:tcW w:w="988" w:type="dxa"/>
            <w:shd w:val="clear" w:color="auto" w:fill="auto"/>
            <w:noWrap w:val="0"/>
            <w:vAlign w:val="center"/>
          </w:tcPr>
          <w:p>
            <w:pPr>
              <w:widowControl/>
              <w:ind w:left="0" w:leftChars="0"/>
              <w:jc w:val="center"/>
              <w:rPr>
                <w:rFonts w:eastAsia="仿宋_GB2312"/>
                <w:color w:val="000000"/>
                <w:kern w:val="0"/>
                <w:szCs w:val="21"/>
              </w:rPr>
            </w:pPr>
            <w:r>
              <w:rPr>
                <w:rFonts w:hint="eastAsia" w:eastAsia="仿宋_GB2312"/>
                <w:color w:val="000000"/>
                <w:kern w:val="0"/>
                <w:szCs w:val="21"/>
                <w:lang w:val="en-US" w:eastAsia="zh-CN"/>
              </w:rPr>
              <w:t>6</w:t>
            </w:r>
          </w:p>
        </w:tc>
        <w:tc>
          <w:tcPr>
            <w:tcW w:w="1446" w:type="dxa"/>
            <w:shd w:val="clear" w:color="auto" w:fill="auto"/>
            <w:noWrap w:val="0"/>
            <w:vAlign w:val="center"/>
          </w:tcPr>
          <w:p>
            <w:pPr>
              <w:widowControl/>
              <w:ind w:left="0" w:leftChars="0"/>
              <w:jc w:val="center"/>
              <w:rPr>
                <w:rFonts w:eastAsia="仿宋_GB2312"/>
                <w:color w:val="000000"/>
                <w:kern w:val="0"/>
                <w:szCs w:val="21"/>
              </w:rPr>
            </w:pPr>
          </w:p>
          <w:p>
            <w:pPr>
              <w:widowControl/>
              <w:ind w:left="0" w:leftChars="0"/>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080" w:type="dxa"/>
            <w:vMerge w:val="continue"/>
            <w:shd w:val="clear" w:color="auto" w:fill="auto"/>
            <w:noWrap w:val="0"/>
            <w:vAlign w:val="center"/>
          </w:tcPr>
          <w:p>
            <w:pPr>
              <w:jc w:val="left"/>
              <w:rPr>
                <w:rFonts w:eastAsia="仿宋_GB2312"/>
                <w:color w:val="000000"/>
                <w:kern w:val="0"/>
                <w:szCs w:val="21"/>
              </w:rPr>
            </w:pPr>
          </w:p>
        </w:tc>
        <w:tc>
          <w:tcPr>
            <w:tcW w:w="974" w:type="dxa"/>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840" w:type="dxa"/>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290" w:type="dxa"/>
            <w:shd w:val="clear" w:color="auto" w:fill="auto"/>
            <w:noWrap w:val="0"/>
            <w:vAlign w:val="top"/>
          </w:tcPr>
          <w:p>
            <w:pPr>
              <w:ind w:left="0" w:leftChars="0"/>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有</w:t>
            </w:r>
            <w:r>
              <w:rPr>
                <w:rFonts w:hint="eastAsia" w:ascii="仿宋_GB2312" w:hAnsi="仿宋_GB2312" w:eastAsia="仿宋_GB2312" w:cs="仿宋_GB2312"/>
                <w:color w:val="000000"/>
                <w:kern w:val="0"/>
                <w:sz w:val="21"/>
                <w:szCs w:val="21"/>
              </w:rPr>
              <w:t>关部门和单位及群众满意度。</w:t>
            </w:r>
          </w:p>
        </w:tc>
        <w:tc>
          <w:tcPr>
            <w:tcW w:w="1515" w:type="dxa"/>
            <w:gridSpan w:val="2"/>
            <w:shd w:val="clear" w:color="auto" w:fill="auto"/>
            <w:noWrap w:val="0"/>
            <w:vAlign w:val="top"/>
          </w:tcPr>
          <w:p>
            <w:pPr>
              <w:widowControl/>
              <w:ind w:left="0" w:leftChars="0"/>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服务对象满意度≧</w:t>
            </w:r>
            <w:r>
              <w:rPr>
                <w:rFonts w:hint="eastAsia" w:ascii="仿宋_GB2312" w:hAnsi="仿宋_GB2312" w:eastAsia="仿宋_GB2312" w:cs="仿宋_GB2312"/>
                <w:color w:val="000000"/>
                <w:kern w:val="0"/>
                <w:sz w:val="21"/>
                <w:szCs w:val="21"/>
                <w:lang w:val="en-US" w:eastAsia="zh-CN"/>
              </w:rPr>
              <w:t>95</w:t>
            </w:r>
            <w:r>
              <w:rPr>
                <w:rFonts w:hint="eastAsia" w:ascii="仿宋_GB2312" w:hAnsi="仿宋_GB2312" w:eastAsia="仿宋_GB2312" w:cs="仿宋_GB2312"/>
                <w:color w:val="000000"/>
                <w:kern w:val="0"/>
                <w:sz w:val="21"/>
                <w:szCs w:val="21"/>
              </w:rPr>
              <w:t>%。</w:t>
            </w:r>
          </w:p>
        </w:tc>
        <w:tc>
          <w:tcPr>
            <w:tcW w:w="1335" w:type="dxa"/>
            <w:shd w:val="clear" w:color="auto" w:fill="auto"/>
            <w:noWrap w:val="0"/>
            <w:vAlign w:val="center"/>
          </w:tcPr>
          <w:p>
            <w:pPr>
              <w:widowControl/>
              <w:ind w:left="0" w:leftChars="0"/>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95</w:t>
            </w:r>
            <w:r>
              <w:rPr>
                <w:rFonts w:hint="eastAsia" w:ascii="仿宋_GB2312" w:hAnsi="仿宋_GB2312" w:eastAsia="仿宋_GB2312" w:cs="仿宋_GB2312"/>
                <w:color w:val="000000"/>
                <w:kern w:val="0"/>
                <w:sz w:val="21"/>
                <w:szCs w:val="21"/>
              </w:rPr>
              <w:t>%</w:t>
            </w:r>
          </w:p>
        </w:tc>
        <w:tc>
          <w:tcPr>
            <w:tcW w:w="855" w:type="dxa"/>
            <w:shd w:val="clear" w:color="auto" w:fill="auto"/>
            <w:noWrap w:val="0"/>
            <w:vAlign w:val="center"/>
          </w:tcPr>
          <w:p>
            <w:pPr>
              <w:widowControl/>
              <w:ind w:left="0" w:leftChars="0"/>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988" w:type="dxa"/>
            <w:shd w:val="clear" w:color="auto" w:fill="auto"/>
            <w:noWrap w:val="0"/>
            <w:vAlign w:val="center"/>
          </w:tcPr>
          <w:p>
            <w:pPr>
              <w:widowControl/>
              <w:ind w:left="0" w:leftChars="0"/>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shd w:val="clear" w:color="auto" w:fill="auto"/>
            <w:noWrap w:val="0"/>
            <w:vAlign w:val="center"/>
          </w:tcPr>
          <w:p>
            <w:pPr>
              <w:widowControl/>
              <w:ind w:left="0" w:leftChars="0"/>
              <w:jc w:val="center"/>
              <w:rPr>
                <w:rFonts w:eastAsia="仿宋_GB2312"/>
                <w:color w:val="000000"/>
                <w:kern w:val="0"/>
                <w:szCs w:val="21"/>
              </w:rPr>
            </w:pPr>
          </w:p>
          <w:p>
            <w:pPr>
              <w:widowControl/>
              <w:ind w:left="0" w:leftChars="0"/>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4" w:type="dxa"/>
            <w:gridSpan w:val="7"/>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855" w:type="dxa"/>
            <w:shd w:val="clear" w:color="auto" w:fill="auto"/>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988" w:type="dxa"/>
            <w:shd w:val="clear" w:color="auto" w:fill="auto"/>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46" w:type="dxa"/>
            <w:shd w:val="clear" w:color="auto" w:fill="auto"/>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ind w:firstLine="420" w:firstLineChars="200"/>
        <w:rPr>
          <w:rFonts w:hint="eastAsia" w:ascii="Times New Roman" w:hAnsi="Times New Roman" w:eastAsia="宋体" w:cs="Times New Roman"/>
          <w:szCs w:val="21"/>
        </w:rPr>
      </w:pPr>
    </w:p>
    <w:p>
      <w:pPr>
        <w:autoSpaceDE w:val="0"/>
        <w:spacing w:line="600" w:lineRule="exact"/>
        <w:ind w:firstLine="640" w:firstLineChars="200"/>
        <w:rPr>
          <w:rFonts w:hint="eastAsia" w:ascii="仿宋_GB2312" w:hAnsi="楷体" w:eastAsia="仿宋_GB2312" w:cs="宋体"/>
          <w:kern w:val="0"/>
          <w:sz w:val="32"/>
          <w:szCs w:val="32"/>
        </w:rPr>
      </w:pPr>
    </w:p>
    <w:p>
      <w:pPr>
        <w:spacing w:line="560" w:lineRule="exact"/>
        <w:ind w:firstLine="420" w:firstLineChars="200"/>
        <w:jc w:val="left"/>
        <w:rPr>
          <w:rFonts w:hint="eastAsia" w:ascii="仿宋_GB2312" w:hAnsi="Calibri" w:eastAsia="仿宋_GB2312" w:cs="Times New Roman"/>
          <w:szCs w:val="21"/>
        </w:rPr>
      </w:pPr>
    </w:p>
    <w:p>
      <w:pPr>
        <w:ind w:firstLine="640"/>
        <w:rPr>
          <w:rFonts w:hint="eastAsia" w:ascii="仿宋_GB2312" w:hAnsi="楷体" w:eastAsia="仿宋_GB2312"/>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å®‹ä½“">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楷体简体">
    <w:altName w:val="微软雅黑"/>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F74C4"/>
    <w:multiLevelType w:val="singleLevel"/>
    <w:tmpl w:val="858F74C4"/>
    <w:lvl w:ilvl="0" w:tentative="0">
      <w:start w:val="6"/>
      <w:numFmt w:val="decimal"/>
      <w:lvlText w:val="%1."/>
      <w:lvlJc w:val="left"/>
      <w:pPr>
        <w:tabs>
          <w:tab w:val="left" w:pos="312"/>
        </w:tabs>
      </w:pPr>
    </w:lvl>
  </w:abstractNum>
  <w:abstractNum w:abstractNumId="1">
    <w:nsid w:val="B46D17C6"/>
    <w:multiLevelType w:val="singleLevel"/>
    <w:tmpl w:val="B46D17C6"/>
    <w:lvl w:ilvl="0" w:tentative="0">
      <w:start w:val="2"/>
      <w:numFmt w:val="chineseCounting"/>
      <w:suff w:val="nothing"/>
      <w:lvlText w:val="（%1）"/>
      <w:lvlJc w:val="left"/>
      <w:rPr>
        <w:rFonts w:hint="eastAsia"/>
      </w:rPr>
    </w:lvl>
  </w:abstractNum>
  <w:abstractNum w:abstractNumId="2">
    <w:nsid w:val="B606274D"/>
    <w:multiLevelType w:val="singleLevel"/>
    <w:tmpl w:val="B606274D"/>
    <w:lvl w:ilvl="0" w:tentative="0">
      <w:start w:val="3"/>
      <w:numFmt w:val="chineseCounting"/>
      <w:suff w:val="nothing"/>
      <w:lvlText w:val="（%1）"/>
      <w:lvlJc w:val="left"/>
      <w:rPr>
        <w:rFonts w:hint="eastAsia"/>
      </w:rPr>
    </w:lvl>
  </w:abstractNum>
  <w:abstractNum w:abstractNumId="3">
    <w:nsid w:val="F5775A34"/>
    <w:multiLevelType w:val="singleLevel"/>
    <w:tmpl w:val="F5775A34"/>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3ZjQxNzM1ZDBiZWI2YWUwZGYwZmJmZjU3ZDA5MjQifQ=="/>
  </w:docVars>
  <w:rsids>
    <w:rsidRoot w:val="004667D5"/>
    <w:rsid w:val="004667D5"/>
    <w:rsid w:val="00491A9F"/>
    <w:rsid w:val="006250A0"/>
    <w:rsid w:val="00656484"/>
    <w:rsid w:val="008160C0"/>
    <w:rsid w:val="009D1856"/>
    <w:rsid w:val="00C65670"/>
    <w:rsid w:val="00D83C83"/>
    <w:rsid w:val="00E03C67"/>
    <w:rsid w:val="00EC45AF"/>
    <w:rsid w:val="00F00F0A"/>
    <w:rsid w:val="00F134FD"/>
    <w:rsid w:val="05AD08E7"/>
    <w:rsid w:val="08C261F3"/>
    <w:rsid w:val="11633AB1"/>
    <w:rsid w:val="1C39456B"/>
    <w:rsid w:val="2275506B"/>
    <w:rsid w:val="2CDD682C"/>
    <w:rsid w:val="3B315604"/>
    <w:rsid w:val="3C8E7C51"/>
    <w:rsid w:val="40544A0D"/>
    <w:rsid w:val="479824F0"/>
    <w:rsid w:val="4D250A09"/>
    <w:rsid w:val="4FC53718"/>
    <w:rsid w:val="55115153"/>
    <w:rsid w:val="57DB5121"/>
    <w:rsid w:val="5BEA3167"/>
    <w:rsid w:val="669843C4"/>
    <w:rsid w:val="6C5A43B9"/>
    <w:rsid w:val="70D54E3A"/>
    <w:rsid w:val="71481760"/>
    <w:rsid w:val="750E3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before="120" w:beforeLines="0" w:after="120" w:afterLines="0" w:line="340" w:lineRule="exact"/>
      <w:ind w:left="0"/>
    </w:pPr>
    <w:rPr>
      <w:rFonts w:ascii="华文中宋" w:hAnsi="华文中宋" w:eastAsia="华文中宋"/>
      <w:b/>
      <w:caps/>
      <w:sz w:val="24"/>
    </w:rPr>
  </w:style>
  <w:style w:type="paragraph" w:styleId="3">
    <w:name w:val="Date"/>
    <w:basedOn w:val="1"/>
    <w:next w:val="1"/>
    <w:link w:val="9"/>
    <w:semiHidden/>
    <w:unhideWhenUsed/>
    <w:qFormat/>
    <w:uiPriority w:val="99"/>
    <w:pPr>
      <w:ind w:left="100" w:leftChars="2500"/>
    </w:p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日期 字符"/>
    <w:basedOn w:val="8"/>
    <w:link w:val="3"/>
    <w:semiHidden/>
    <w:qFormat/>
    <w:uiPriority w:val="99"/>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5214</Words>
  <Characters>5792</Characters>
  <Lines>14</Lines>
  <Paragraphs>3</Paragraphs>
  <TotalTime>8</TotalTime>
  <ScaleCrop>false</ScaleCrop>
  <LinksUpToDate>false</LinksUpToDate>
  <CharactersWithSpaces>5981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2023-03-14T02:01:00Z</dcterms:created>
  <dc:creator>Administrator</dc:creator>
  <cp:lastModifiedBy>孙泽宇</cp:lastModifiedBy>
  <cp:lastPrinted>2023-04-11T01:15:00Z</cp:lastPrinted>
  <dcterms:modified xsi:type="dcterms:W3CDTF">2023-11-09T02:57:39Z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459770451827405BA365D4FA7E409252_13</vt:lpwstr>
  </property>
</Properties>
</file>