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outlineLvl w:val="1"/>
        <w:rPr>
          <w:rFonts w:hint="eastAsia" w:ascii="黑体" w:eastAsia="黑体"/>
          <w:b w:val="0"/>
          <w:bCs/>
          <w:vanish w:val="0"/>
          <w:color w:val="auto"/>
          <w:kern w:val="0"/>
          <w:sz w:val="32"/>
          <w:szCs w:val="32"/>
        </w:rPr>
      </w:pPr>
      <w:bookmarkStart w:id="0" w:name="_GoBack"/>
      <w:bookmarkEnd w:id="0"/>
      <w:r>
        <w:rPr>
          <w:rFonts w:hint="eastAsia" w:ascii="黑体" w:eastAsia="黑体"/>
          <w:b w:val="0"/>
          <w:bCs/>
          <w:vanish w:val="0"/>
          <w:color w:val="auto"/>
          <w:kern w:val="0"/>
          <w:sz w:val="32"/>
          <w:szCs w:val="32"/>
        </w:rPr>
        <w:t>十三、关于</w:t>
      </w:r>
      <w:r>
        <w:rPr>
          <w:rFonts w:ascii="Times New Roman" w:hAnsi="Times New Roman" w:eastAsia="仿宋_GB2312" w:cs="黑体"/>
          <w:vanish w:val="0"/>
          <w:color w:val="auto"/>
          <w:kern w:val="0"/>
          <w:sz w:val="32"/>
          <w:szCs w:val="32"/>
        </w:rPr>
        <w:t>2022</w:t>
      </w:r>
      <w:r>
        <w:rPr>
          <w:rFonts w:hint="eastAsia" w:ascii="黑体" w:eastAsia="黑体"/>
          <w:b w:val="0"/>
          <w:bCs/>
          <w:vanish w:val="0"/>
          <w:color w:val="auto"/>
          <w:kern w:val="0"/>
          <w:sz w:val="32"/>
          <w:szCs w:val="32"/>
        </w:rPr>
        <w:t>年度预算绩效情况的说明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803" w:firstLineChars="250"/>
        <w:jc w:val="both"/>
        <w:outlineLvl w:val="2"/>
        <w:rPr>
          <w:rFonts w:hint="eastAsia" w:ascii="Times New Roman" w:hAnsi="Times New Roman" w:eastAsia="仿宋_GB2312" w:cs="黑体"/>
          <w:b/>
          <w:bCs/>
          <w:vanish w:val="0"/>
          <w:color w:val="auto"/>
          <w:kern w:val="0"/>
          <w:sz w:val="32"/>
          <w:szCs w:val="32"/>
        </w:rPr>
      </w:pPr>
      <w:r>
        <w:rPr>
          <w:rFonts w:hint="eastAsia" w:ascii="仿宋_GB2312" w:eastAsia="仿宋_GB2312" w:cs="黑体"/>
          <w:b/>
          <w:bCs/>
          <w:vanish w:val="0"/>
          <w:color w:val="auto"/>
          <w:kern w:val="0"/>
          <w:sz w:val="32"/>
          <w:szCs w:val="32"/>
        </w:rPr>
        <w:t>（一）部门整体支出绩效情况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jc w:val="left"/>
        <w:rPr>
          <w:rFonts w:hint="eastAsia" w:ascii="Times New Roman" w:hAnsi="Times New Roman" w:eastAsia="仿宋_GB2312" w:cs="黑体"/>
          <w:vanish w:val="0"/>
          <w:color w:val="auto"/>
          <w:kern w:val="0"/>
          <w:sz w:val="32"/>
          <w:szCs w:val="32"/>
        </w:rPr>
      </w:pPr>
      <w:r>
        <w:rPr>
          <w:rFonts w:hint="eastAsia" w:ascii="仿宋_GB2312" w:eastAsia="仿宋_GB2312" w:cs="黑体"/>
          <w:vanish w:val="0"/>
          <w:color w:val="auto"/>
          <w:kern w:val="0"/>
          <w:sz w:val="32"/>
          <w:szCs w:val="32"/>
        </w:rPr>
        <w:t>一、绩效管理工作开展情况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jc w:val="both"/>
        <w:rPr>
          <w:rFonts w:ascii="Times New Roman" w:hAnsi="Times New Roman" w:eastAsia="仿宋_GB2312" w:cs="黑体"/>
          <w:vanish w:val="0"/>
          <w:color w:val="auto"/>
          <w:kern w:val="0"/>
          <w:sz w:val="32"/>
          <w:szCs w:val="32"/>
        </w:rPr>
      </w:pPr>
      <w:r>
        <w:rPr>
          <w:rFonts w:hint="eastAsia" w:ascii="仿宋_GB2312" w:eastAsia="仿宋_GB2312" w:cs="黑体"/>
          <w:vanish w:val="0"/>
          <w:color w:val="auto"/>
          <w:kern w:val="0"/>
          <w:sz w:val="32"/>
          <w:szCs w:val="32"/>
        </w:rPr>
        <w:t>根据《预算绩效管理工作考核办法》文件精神，现将我单位预算绩效管理工作总结如下：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jc w:val="both"/>
        <w:rPr>
          <w:rFonts w:ascii="Times New Roman" w:hAnsi="Times New Roman" w:eastAsia="仿宋_GB2312" w:cs="黑体"/>
          <w:vanish w:val="0"/>
          <w:color w:val="auto"/>
          <w:kern w:val="0"/>
          <w:sz w:val="32"/>
          <w:szCs w:val="32"/>
        </w:rPr>
      </w:pPr>
      <w:r>
        <w:rPr>
          <w:rFonts w:ascii="Times New Roman" w:hAnsi="Times New Roman" w:eastAsia="仿宋_GB2312" w:cs="黑体"/>
          <w:vanish w:val="0"/>
          <w:color w:val="auto"/>
          <w:kern w:val="0"/>
          <w:sz w:val="32"/>
          <w:szCs w:val="32"/>
        </w:rPr>
        <w:t>1.</w:t>
      </w:r>
      <w:r>
        <w:rPr>
          <w:rFonts w:hint="eastAsia" w:ascii="仿宋_GB2312" w:eastAsia="仿宋_GB2312" w:cs="黑体"/>
          <w:vanish w:val="0"/>
          <w:color w:val="auto"/>
          <w:kern w:val="0"/>
          <w:sz w:val="32"/>
          <w:szCs w:val="32"/>
        </w:rPr>
        <w:t>加强管理制度建设，提高对预算一体化系统的学习，利用信息化手段更好的协助单位对整体预算的把控。</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jc w:val="both"/>
        <w:rPr>
          <w:rFonts w:ascii="Times New Roman" w:hAnsi="Times New Roman" w:eastAsia="仿宋_GB2312" w:cs="黑体"/>
          <w:vanish w:val="0"/>
          <w:color w:val="auto"/>
          <w:kern w:val="0"/>
          <w:sz w:val="32"/>
          <w:szCs w:val="32"/>
        </w:rPr>
      </w:pPr>
      <w:r>
        <w:rPr>
          <w:rFonts w:ascii="Times New Roman" w:hAnsi="Times New Roman" w:eastAsia="仿宋_GB2312" w:cs="黑体"/>
          <w:vanish w:val="0"/>
          <w:color w:val="auto"/>
          <w:kern w:val="0"/>
          <w:sz w:val="32"/>
          <w:szCs w:val="32"/>
        </w:rPr>
        <w:t>2.</w:t>
      </w:r>
      <w:r>
        <w:rPr>
          <w:rFonts w:hint="eastAsia" w:ascii="仿宋_GB2312" w:eastAsia="仿宋_GB2312" w:cs="黑体"/>
          <w:vanish w:val="0"/>
          <w:color w:val="auto"/>
          <w:kern w:val="0"/>
          <w:sz w:val="32"/>
          <w:szCs w:val="32"/>
        </w:rPr>
        <w:t>全面实施预算项目绩效目标管理，一方面每年对单位申报的预算项目进行全面梳理，加强审核，合理保障，所有项目必须有明细的资金预测；另一方面，完善绩效管理责任，财政部门下达年度预算时，通过规范格式下达绩效目标，单位是执行主体，负责实现绩效目标。</w:t>
      </w:r>
    </w:p>
    <w:p>
      <w:pPr>
        <w:pBdr>
          <w:top w:val="none" w:color="auto" w:sz="0" w:space="0"/>
          <w:left w:val="none" w:color="auto" w:sz="0" w:space="0"/>
          <w:bottom w:val="none" w:color="auto" w:sz="0" w:space="0"/>
          <w:right w:val="none" w:color="auto" w:sz="0" w:space="0"/>
        </w:pBdr>
        <w:adjustRightInd/>
        <w:snapToGrid w:val="0"/>
        <w:spacing w:line="520" w:lineRule="exact"/>
        <w:ind w:firstLine="640" w:firstLineChars="200"/>
        <w:contextualSpacing w:val="0"/>
        <w:jc w:val="both"/>
        <w:rPr>
          <w:rFonts w:hint="eastAsia" w:ascii="仿宋_GB2312" w:eastAsia="仿宋_GB2312" w:cs="Times New Roman"/>
          <w:vanish w:val="0"/>
          <w:kern w:val="2"/>
          <w:sz w:val="32"/>
          <w:szCs w:val="32"/>
        </w:rPr>
      </w:pPr>
      <w:r>
        <w:rPr>
          <w:rFonts w:ascii="Times New Roman" w:hAnsi="Times New Roman" w:eastAsia="仿宋_GB2312"/>
          <w:vanish w:val="0"/>
          <w:kern w:val="2"/>
          <w:sz w:val="32"/>
          <w:szCs w:val="32"/>
        </w:rPr>
        <w:t>3.</w:t>
      </w:r>
      <w:r>
        <w:rPr>
          <w:rFonts w:hint="eastAsia" w:ascii="仿宋_GB2312" w:eastAsia="仿宋_GB2312" w:cs="Times New Roman"/>
          <w:vanish w:val="0"/>
          <w:kern w:val="2"/>
          <w:sz w:val="32"/>
          <w:szCs w:val="32"/>
        </w:rPr>
        <w:t>加强财务监督和绩效评价，把绩效管理的理念和方法引入日常经费的管理，逐步建立起以强化资金使用效益为核心的绩效评价体系。进一步完善财务监督制度，强化重大项目经费的全过程审计。</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640" w:firstLineChars="200"/>
        <w:jc w:val="left"/>
        <w:rPr>
          <w:rFonts w:ascii="Times New Roman" w:hAnsi="Times New Roman" w:eastAsia="仿宋_GB2312" w:cs="黑体"/>
          <w:vanish w:val="0"/>
          <w:color w:val="auto"/>
          <w:kern w:val="0"/>
          <w:sz w:val="32"/>
          <w:szCs w:val="32"/>
        </w:rPr>
      </w:pPr>
      <w:r>
        <w:rPr>
          <w:rFonts w:hint="eastAsia" w:ascii="仿宋_GB2312" w:eastAsia="仿宋_GB2312" w:cs="黑体"/>
          <w:vanish w:val="0"/>
          <w:color w:val="auto"/>
          <w:kern w:val="0"/>
          <w:sz w:val="32"/>
          <w:szCs w:val="32"/>
        </w:rPr>
        <w:t>二、部门决算中项目绩效自评结果</w:t>
      </w:r>
    </w:p>
    <w:p>
      <w:pPr>
        <w:pBdr>
          <w:top w:val="none" w:color="auto" w:sz="0" w:space="0"/>
          <w:left w:val="none" w:color="auto" w:sz="0" w:space="0"/>
          <w:bottom w:val="none" w:color="auto" w:sz="0" w:space="0"/>
          <w:right w:val="none" w:color="auto" w:sz="0" w:space="0"/>
        </w:pBdr>
        <w:adjustRightInd/>
        <w:snapToGrid w:val="0"/>
        <w:spacing w:line="520" w:lineRule="exact"/>
        <w:ind w:firstLine="640" w:firstLineChars="200"/>
        <w:contextualSpacing w:val="0"/>
        <w:rPr>
          <w:rFonts w:ascii="Times New Roman" w:hAnsi="Times New Roman" w:eastAsia="仿宋_GB2312"/>
          <w:vanish w:val="0"/>
          <w:kern w:val="2"/>
          <w:sz w:val="32"/>
          <w:szCs w:val="32"/>
        </w:rPr>
      </w:pPr>
      <w:r>
        <w:rPr>
          <w:rFonts w:hint="eastAsia" w:ascii="仿宋_GB2312" w:eastAsia="仿宋_GB2312"/>
          <w:vanish w:val="0"/>
          <w:kern w:val="2"/>
          <w:sz w:val="32"/>
          <w:szCs w:val="32"/>
        </w:rPr>
        <w:t>按照《沅江市财政局关于做好</w:t>
      </w:r>
      <w:r>
        <w:rPr>
          <w:rFonts w:ascii="Times New Roman" w:hAnsi="Times New Roman" w:eastAsia="仿宋_GB2312"/>
          <w:vanish w:val="0"/>
          <w:kern w:val="2"/>
          <w:sz w:val="32"/>
          <w:szCs w:val="32"/>
        </w:rPr>
        <w:t>202</w:t>
      </w:r>
      <w:r>
        <w:rPr>
          <w:rFonts w:ascii="Times New Roman" w:hAnsi="Times New Roman" w:eastAsia="仿宋_GB2312" w:cs="Times New Roman"/>
          <w:vanish w:val="0"/>
          <w:kern w:val="2"/>
          <w:sz w:val="32"/>
          <w:szCs w:val="32"/>
        </w:rPr>
        <w:t>2</w:t>
      </w:r>
      <w:r>
        <w:rPr>
          <w:rFonts w:hint="eastAsia" w:ascii="仿宋_GB2312" w:eastAsia="仿宋_GB2312"/>
          <w:vanish w:val="0"/>
          <w:kern w:val="2"/>
          <w:sz w:val="32"/>
          <w:szCs w:val="32"/>
        </w:rPr>
        <w:t>年度预算绩效自评工作的通知》沅财绩【</w:t>
      </w:r>
      <w:r>
        <w:rPr>
          <w:rFonts w:ascii="Times New Roman" w:hAnsi="Times New Roman" w:eastAsia="仿宋_GB2312"/>
          <w:vanish w:val="0"/>
          <w:kern w:val="2"/>
          <w:sz w:val="32"/>
          <w:szCs w:val="32"/>
        </w:rPr>
        <w:t>202</w:t>
      </w:r>
      <w:r>
        <w:rPr>
          <w:rFonts w:ascii="Times New Roman" w:hAnsi="Times New Roman" w:eastAsia="仿宋_GB2312" w:cs="Times New Roman"/>
          <w:vanish w:val="0"/>
          <w:kern w:val="2"/>
          <w:sz w:val="32"/>
          <w:szCs w:val="32"/>
        </w:rPr>
        <w:t>3</w:t>
      </w:r>
      <w:r>
        <w:rPr>
          <w:rFonts w:hint="eastAsia" w:ascii="仿宋_GB2312" w:eastAsia="仿宋_GB2312"/>
          <w:vanish w:val="0"/>
          <w:kern w:val="2"/>
          <w:sz w:val="32"/>
          <w:szCs w:val="32"/>
        </w:rPr>
        <w:t>】</w:t>
      </w:r>
      <w:r>
        <w:rPr>
          <w:rFonts w:ascii="Times New Roman" w:hAnsi="Times New Roman" w:eastAsia="仿宋_GB2312"/>
          <w:vanish w:val="0"/>
          <w:kern w:val="2"/>
          <w:sz w:val="32"/>
          <w:szCs w:val="32"/>
        </w:rPr>
        <w:t>1</w:t>
      </w:r>
      <w:r>
        <w:rPr>
          <w:rFonts w:hint="eastAsia" w:ascii="仿宋_GB2312" w:eastAsia="仿宋_GB2312"/>
          <w:vanish w:val="0"/>
          <w:kern w:val="2"/>
          <w:sz w:val="32"/>
          <w:szCs w:val="32"/>
        </w:rPr>
        <w:t>号文件工作部署，根据财政部《财政支出绩效评价管理暂行办法》、《湖南省预算绩效管理工作规程（试行）的通知》等文件要求，我单位积极组织各个相关股室对</w:t>
      </w:r>
      <w:r>
        <w:rPr>
          <w:rFonts w:ascii="Times New Roman" w:hAnsi="Times New Roman" w:eastAsia="仿宋_GB2312"/>
          <w:vanish w:val="0"/>
          <w:kern w:val="2"/>
          <w:sz w:val="32"/>
          <w:szCs w:val="32"/>
        </w:rPr>
        <w:t>202</w:t>
      </w:r>
      <w:r>
        <w:rPr>
          <w:rFonts w:ascii="Times New Roman" w:hAnsi="Times New Roman" w:eastAsia="仿宋_GB2312" w:cs="Times New Roman"/>
          <w:vanish w:val="0"/>
          <w:kern w:val="2"/>
          <w:sz w:val="32"/>
          <w:szCs w:val="32"/>
        </w:rPr>
        <w:t>2</w:t>
      </w:r>
      <w:r>
        <w:rPr>
          <w:rFonts w:hint="eastAsia" w:ascii="仿宋_GB2312" w:eastAsia="仿宋_GB2312"/>
          <w:vanish w:val="0"/>
          <w:kern w:val="2"/>
          <w:sz w:val="32"/>
          <w:szCs w:val="32"/>
        </w:rPr>
        <w:t>年度部门预算绩效开展了自评，现将具体情况汇报如下：</w:t>
      </w:r>
    </w:p>
    <w:p>
      <w:pPr>
        <w:pBdr>
          <w:top w:val="none" w:color="auto" w:sz="0" w:space="0"/>
          <w:left w:val="none" w:color="auto" w:sz="0" w:space="0"/>
          <w:bottom w:val="none" w:color="auto" w:sz="0" w:space="0"/>
          <w:right w:val="none" w:color="auto" w:sz="0" w:space="0"/>
        </w:pBdr>
        <w:adjustRightInd/>
        <w:snapToGrid w:val="0"/>
        <w:spacing w:line="520" w:lineRule="exact"/>
        <w:ind w:firstLine="600" w:firstLineChars="200"/>
        <w:contextualSpacing w:val="0"/>
        <w:rPr>
          <w:rFonts w:hint="eastAsia" w:ascii="仿宋" w:eastAsia="仿宋" w:cs="Times New Roman"/>
          <w:vanish w:val="0"/>
          <w:kern w:val="2"/>
          <w:sz w:val="30"/>
          <w:szCs w:val="30"/>
        </w:rPr>
      </w:pPr>
      <w:r>
        <w:rPr>
          <w:rFonts w:hint="eastAsia" w:ascii="仿宋" w:eastAsia="仿宋" w:cs="Times New Roman"/>
          <w:vanish w:val="0"/>
          <w:kern w:val="2"/>
          <w:sz w:val="30"/>
          <w:szCs w:val="30"/>
        </w:rPr>
        <w:t>本单位2022年专项资金为25万元，由财政拨款，在使用过程中能做到专款专用，主要用于市场卫生维护，市场整治与维修。市场卫生维护于年初1月份就开始实施，分月进行。市场整治与维修于3月份实施，根据市场状况据实进行,目前该项目已实施并完成。</w:t>
      </w:r>
    </w:p>
    <w:p>
      <w:pPr>
        <w:pBdr>
          <w:top w:val="none" w:color="auto" w:sz="0" w:space="0"/>
          <w:left w:val="none" w:color="auto" w:sz="0" w:space="0"/>
          <w:bottom w:val="none" w:color="auto" w:sz="0" w:space="0"/>
          <w:right w:val="none" w:color="auto" w:sz="0" w:space="0"/>
        </w:pBdr>
        <w:adjustRightInd/>
        <w:snapToGrid w:val="0"/>
        <w:spacing w:line="520" w:lineRule="exact"/>
        <w:ind w:left="300" w:hanging="300" w:hangingChars="100"/>
        <w:contextualSpacing w:val="0"/>
        <w:rPr>
          <w:rFonts w:hint="eastAsia" w:ascii="仿宋" w:eastAsia="仿宋" w:cs="Times New Roman"/>
          <w:vanish w:val="0"/>
          <w:kern w:val="2"/>
          <w:sz w:val="28"/>
          <w:szCs w:val="28"/>
        </w:rPr>
      </w:pPr>
      <w:r>
        <w:rPr>
          <w:rFonts w:hint="eastAsia" w:ascii="仿宋" w:eastAsia="仿宋" w:cs="Times New Roman"/>
          <w:vanish w:val="0"/>
          <w:kern w:val="2"/>
          <w:sz w:val="30"/>
          <w:szCs w:val="30"/>
        </w:rPr>
        <w:t xml:space="preserve"> </w:t>
      </w:r>
      <w:r>
        <w:rPr>
          <w:rFonts w:hint="eastAsia" w:ascii="仿宋" w:eastAsia="仿宋" w:cs="Times New Roman"/>
          <w:b w:val="0"/>
          <w:bCs w:val="0"/>
          <w:vanish w:val="0"/>
          <w:kern w:val="2"/>
          <w:sz w:val="30"/>
          <w:szCs w:val="30"/>
        </w:rPr>
        <w:t xml:space="preserve">  </w:t>
      </w:r>
      <w:r>
        <w:rPr>
          <w:rFonts w:hint="eastAsia" w:ascii="仿宋" w:eastAsia="仿宋" w:cs="Times New Roman"/>
          <w:vanish w:val="0"/>
          <w:kern w:val="2"/>
          <w:sz w:val="30"/>
          <w:szCs w:val="30"/>
        </w:rPr>
        <w:t xml:space="preserve">  该项目的完成使各个市场保持了良好的卫生状况，市场破损也得到了及时的维修，为经营者创造了良好的市场环境，为居民生活带来了方便</w:t>
      </w:r>
      <w:r>
        <w:rPr>
          <w:rFonts w:hint="eastAsia" w:ascii="仿宋" w:eastAsia="仿宋" w:cs="Times New Roman"/>
          <w:vanish w:val="0"/>
          <w:kern w:val="2"/>
          <w:sz w:val="28"/>
          <w:szCs w:val="28"/>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640" w:firstLineChars="2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三、以部门为主体开展的重点绩效评价结果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960" w:firstLineChars="3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2022年度本单位没有重点项目，无绩效评价。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640" w:firstLineChars="2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四、以部门为主体开展的重点绩效评价结果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960" w:firstLineChars="3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2022年度本单位没有重点项目，无绩效评价。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640" w:firstLineChars="2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 xml:space="preserve">五、预算绩效情况说明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960" w:firstLineChars="3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2022年度本单位预算绩效申报包括整体支出绩效目标申报和专项资金绩效目标申报。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960" w:firstLineChars="300"/>
        <w:jc w:val="both"/>
        <w:rPr>
          <w:rFonts w:hint="eastAsia" w:ascii="仿宋" w:eastAsia="仿宋" w:cs="Times New Roman"/>
          <w:vanish w:val="0"/>
          <w:kern w:val="0"/>
          <w:sz w:val="32"/>
          <w:szCs w:val="32"/>
        </w:rPr>
      </w:pPr>
      <w:r>
        <w:rPr>
          <w:rFonts w:hint="eastAsia" w:ascii="仿宋" w:eastAsia="仿宋" w:cs="Times New Roman"/>
          <w:vanish w:val="0"/>
          <w:kern w:val="0"/>
          <w:sz w:val="32"/>
          <w:szCs w:val="32"/>
        </w:rPr>
        <w:t>整体支出申报资金708.67万元，其中包括财政拨款467.23万元、非税收入115.44万元和其他资金126万元，该笔资金按支出性质又分为基本支出683.67万元和项目支出25万元。</w:t>
      </w:r>
    </w:p>
    <w:p>
      <w:pPr>
        <w:pBdr>
          <w:top w:val="none" w:color="auto" w:sz="0" w:space="0"/>
          <w:left w:val="none" w:color="auto" w:sz="0" w:space="0"/>
          <w:bottom w:val="none" w:color="auto" w:sz="0" w:space="0"/>
          <w:right w:val="none" w:color="auto" w:sz="0" w:space="0"/>
        </w:pBdr>
        <w:adjustRightInd/>
        <w:snapToGrid w:val="0"/>
        <w:spacing w:line="520" w:lineRule="exact"/>
        <w:ind w:firstLine="640" w:firstLineChars="200"/>
        <w:contextualSpacing w:val="0"/>
        <w:rPr>
          <w:rFonts w:hint="eastAsia" w:ascii="仿宋_GB2312" w:eastAsia="仿宋_GB2312" w:cs="Times New Roman"/>
          <w:vanish w:val="0"/>
          <w:kern w:val="2"/>
          <w:sz w:val="32"/>
          <w:szCs w:val="32"/>
        </w:rPr>
      </w:pPr>
      <w:r>
        <w:rPr>
          <w:rFonts w:hint="eastAsia" w:ascii="仿宋" w:eastAsia="仿宋" w:cs="Times New Roman"/>
          <w:vanish w:val="0"/>
          <w:kern w:val="2"/>
          <w:sz w:val="32"/>
          <w:szCs w:val="32"/>
        </w:rPr>
        <w:t>整体支出绩效目标：1.及时发放单位干职工工资和各项福利，维护单位正常运转，保障干职工的基本生活，维护社会的稳定2.同时对各个市场进行及时的整治与维护，为经营者提供良好的环境，保障居民的“菜篮子”工程。目前</w:t>
      </w:r>
      <w:r>
        <w:rPr>
          <w:rFonts w:hint="eastAsia" w:ascii="仿宋_GB2312" w:eastAsia="仿宋_GB2312" w:cs="Times New Roman"/>
          <w:vanish w:val="0"/>
          <w:kern w:val="2"/>
          <w:sz w:val="32"/>
          <w:szCs w:val="32"/>
        </w:rPr>
        <w:t>已经圆满完成本年度绩效目标。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tLeast"/>
        <w:ind w:firstLine="640" w:firstLineChars="200"/>
        <w:jc w:val="both"/>
        <w:rPr>
          <w:rFonts w:hint="eastAsia" w:ascii="仿宋_GB2312" w:eastAsia="仿宋_GB2312" w:cs="Times New Roman"/>
          <w:vanish w:val="0"/>
          <w:kern w:val="2"/>
          <w:sz w:val="32"/>
          <w:szCs w:val="32"/>
        </w:rPr>
      </w:pPr>
      <w:r>
        <w:rPr>
          <w:rFonts w:hint="eastAsia" w:ascii="仿宋" w:eastAsia="仿宋" w:cs="Times New Roman"/>
          <w:vanish w:val="0"/>
          <w:kern w:val="0"/>
          <w:sz w:val="32"/>
          <w:szCs w:val="32"/>
        </w:rPr>
        <w:t>专项资金申报25万元，为市场整治专项资金，该笔资金主要用于市场维护与整治工作，按进度支付，专款专用。专项资金绩效目标是搞好市场整治与维护，保持良好的市场秩序，为居民生活提供方便,</w:t>
      </w:r>
      <w:r>
        <w:rPr>
          <w:rFonts w:hint="eastAsia" w:ascii="仿宋_GB2312" w:eastAsia="仿宋_GB2312" w:cs="Times New Roman"/>
          <w:vanish w:val="0"/>
          <w:kern w:val="2"/>
          <w:sz w:val="32"/>
          <w:szCs w:val="32"/>
        </w:rPr>
        <w:t>目前已经按设定目标完成考核。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spacing w:line="600" w:lineRule="exact"/>
        <w:ind w:firstLine="803" w:firstLineChars="250"/>
        <w:jc w:val="both"/>
        <w:outlineLvl w:val="2"/>
        <w:rPr>
          <w:rFonts w:hint="eastAsia" w:ascii="Times New Roman" w:hAnsi="Times New Roman" w:eastAsia="仿宋_GB2312" w:cs="黑体"/>
          <w:b/>
          <w:bCs/>
          <w:vanish w:val="0"/>
          <w:color w:val="auto"/>
          <w:kern w:val="0"/>
          <w:sz w:val="32"/>
          <w:szCs w:val="32"/>
        </w:rPr>
      </w:pPr>
      <w:r>
        <w:rPr>
          <w:rFonts w:hint="eastAsia" w:ascii="仿宋_GB2312" w:eastAsia="仿宋_GB2312" w:cs="黑体"/>
          <w:b/>
          <w:bCs/>
          <w:vanish w:val="0"/>
          <w:color w:val="auto"/>
          <w:kern w:val="0"/>
          <w:sz w:val="32"/>
          <w:szCs w:val="32"/>
        </w:rPr>
        <w:t>（二）存在的问题及原因分析</w:t>
      </w:r>
    </w:p>
    <w:p>
      <w:pPr>
        <w:pBdr>
          <w:top w:val="none" w:color="auto" w:sz="0" w:space="0"/>
          <w:left w:val="none" w:color="auto" w:sz="0" w:space="0"/>
          <w:bottom w:val="none" w:color="auto" w:sz="0" w:space="0"/>
          <w:right w:val="none" w:color="auto" w:sz="0" w:space="0"/>
        </w:pBdr>
        <w:adjustRightInd/>
        <w:snapToGrid w:val="0"/>
        <w:spacing w:line="520" w:lineRule="exact"/>
        <w:ind w:firstLine="640" w:firstLineChars="200"/>
        <w:contextualSpacing w:val="0"/>
        <w:rPr>
          <w:rFonts w:hint="eastAsia" w:ascii="仿宋_GB2312" w:eastAsia="仿宋_GB2312" w:cs="Times New Roman"/>
          <w:b w:val="0"/>
          <w:vanish w:val="0"/>
          <w:kern w:val="2"/>
          <w:sz w:val="32"/>
          <w:szCs w:val="32"/>
        </w:rPr>
      </w:pPr>
      <w:r>
        <w:rPr>
          <w:rFonts w:hint="eastAsia" w:ascii="仿宋_GB2312" w:eastAsia="仿宋_GB2312" w:cs="Times New Roman"/>
          <w:vanish w:val="0"/>
          <w:kern w:val="2"/>
          <w:sz w:val="32"/>
          <w:szCs w:val="32"/>
        </w:rPr>
        <w:t>新年度需要加强绩效意识，为绩效评价提供合理的目标依据。进一步加强单位内部机构各办室的预算管理意识，严格按照预算编制的相关制度和要求进行预算编制。</w:t>
      </w:r>
    </w:p>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21C81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spacing w:before="340" w:after="330" w:line="578" w:lineRule="auto"/>
      <w:outlineLvl w:val="0"/>
    </w:pPr>
    <w:rPr>
      <w:b/>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index 6"/>
    <w:basedOn w:val="1"/>
    <w:next w:val="1"/>
    <w:uiPriority w:val="0"/>
    <w:pPr>
      <w:ind w:left="2100"/>
    </w:pPr>
  </w:style>
  <w:style w:type="paragraph" w:styleId="6">
    <w:name w:val="Normal (Web)"/>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9">
    <w:name w:val="Default"/>
    <w:next w:val="5"/>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0"/>
      <w:contextualSpacing w:val="0"/>
      <w:jc w:val="left"/>
      <w:textAlignment w:val="auto"/>
      <w:outlineLvl w:val="9"/>
    </w:pPr>
    <w:rPr>
      <w:rFonts w:ascii="黑体" w:hAnsi="Times New Roman" w:eastAsia="黑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3</Pages>
  <Words>1147</Words>
  <Characters>1201</Characters>
  <Lines>55</Lines>
  <Paragraphs>22</Paragraphs>
  <TotalTime>0</TotalTime>
  <ScaleCrop>false</ScaleCrop>
  <LinksUpToDate>false</LinksUpToDate>
  <CharactersWithSpaces>1207</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2023-11-03T00:15:00Z</dcterms:created>
  <dc:creator>Windows 用户</dc:creator>
  <cp:lastModifiedBy>孙泽宇</cp:lastModifiedBy>
  <dcterms:modified xsi:type="dcterms:W3CDTF">2023-11-09T02:58:15Z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1BE485F0F02A4A9FBA02B0AFA1763F69_13</vt:lpwstr>
  </property>
</Properties>
</file>