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rPr>
          <w:rFonts w:hint="eastAsia" w:ascii="方正小标宋简体" w:eastAsia="方正小标宋简体" w:cs="宋体"/>
          <w:color w:val="333333"/>
          <w:kern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eastAsia="方正小标宋简体" w:cs="宋体"/>
          <w:color w:val="333333"/>
          <w:kern w:val="0"/>
          <w:sz w:val="44"/>
          <w:szCs w:val="44"/>
          <w:highlight w:val="none"/>
        </w:rPr>
        <w:t>沅江市科学技术和工业信息化局</w:t>
      </w:r>
    </w:p>
    <w:p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/>
          <w:color w:val="333333"/>
          <w:kern w:val="0"/>
          <w:sz w:val="44"/>
          <w:szCs w:val="44"/>
          <w:highlight w:val="none"/>
        </w:rPr>
      </w:pPr>
      <w:r>
        <w:rPr>
          <w:rFonts w:hint="eastAsia" w:ascii="方正小标宋简体" w:eastAsia="方正小标宋简体" w:cs="宋体"/>
          <w:color w:val="333333"/>
          <w:kern w:val="0"/>
          <w:sz w:val="44"/>
          <w:szCs w:val="44"/>
          <w:highlight w:val="none"/>
        </w:rPr>
        <w:t>20</w:t>
      </w:r>
      <w:r>
        <w:rPr>
          <w:rFonts w:hint="eastAsia" w:ascii="方正小标宋简体" w:eastAsia="方正小标宋简体" w:cs="宋体"/>
          <w:color w:val="333333"/>
          <w:kern w:val="0"/>
          <w:sz w:val="44"/>
          <w:szCs w:val="44"/>
          <w:highlight w:val="none"/>
          <w:lang w:val="en-US" w:eastAsia="zh-CN"/>
        </w:rPr>
        <w:t>22</w:t>
      </w:r>
      <w:r>
        <w:rPr>
          <w:rFonts w:hint="eastAsia" w:ascii="方正小标宋简体" w:eastAsia="方正小标宋简体" w:cs="宋体"/>
          <w:color w:val="333333"/>
          <w:kern w:val="0"/>
          <w:sz w:val="44"/>
          <w:szCs w:val="44"/>
          <w:highlight w:val="none"/>
        </w:rPr>
        <w:t>年整体</w:t>
      </w:r>
      <w:r>
        <w:rPr>
          <w:rFonts w:hint="eastAsia" w:ascii="方正小标宋简体" w:eastAsia="方正小标宋简体"/>
          <w:color w:val="333333"/>
          <w:kern w:val="0"/>
          <w:sz w:val="44"/>
          <w:szCs w:val="44"/>
          <w:highlight w:val="none"/>
        </w:rPr>
        <w:t>支出绩效</w:t>
      </w:r>
      <w:r>
        <w:rPr>
          <w:rFonts w:hint="eastAsia" w:ascii="方正小标宋简体" w:eastAsia="方正小标宋简体" w:cs="宋体"/>
          <w:color w:val="333333"/>
          <w:kern w:val="0"/>
          <w:sz w:val="44"/>
          <w:szCs w:val="44"/>
          <w:highlight w:val="none"/>
        </w:rPr>
        <w:t>评价</w:t>
      </w:r>
      <w:r>
        <w:rPr>
          <w:rFonts w:hint="eastAsia" w:ascii="方正小标宋简体" w:eastAsia="方正小标宋简体"/>
          <w:color w:val="333333"/>
          <w:kern w:val="0"/>
          <w:sz w:val="44"/>
          <w:szCs w:val="44"/>
          <w:highlight w:val="none"/>
        </w:rPr>
        <w:t>报告</w:t>
      </w:r>
    </w:p>
    <w:p>
      <w:pPr>
        <w:widowControl/>
        <w:shd w:val="clear" w:color="auto" w:fill="FFFFFF"/>
        <w:spacing w:line="600" w:lineRule="atLeast"/>
        <w:jc w:val="left"/>
        <w:rPr>
          <w:rFonts w:ascii="宋体" w:cs="宋体"/>
          <w:color w:val="333333"/>
          <w:kern w:val="0"/>
          <w:szCs w:val="21"/>
          <w:highlight w:val="none"/>
        </w:rPr>
      </w:pPr>
      <w:r>
        <w:rPr>
          <w:color w:val="333333"/>
          <w:kern w:val="0"/>
          <w:sz w:val="32"/>
          <w:szCs w:val="32"/>
          <w:highlight w:val="none"/>
        </w:rPr>
        <w:t> 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黑体" w:eastAsia="黑体" w:cs="宋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eastAsia="黑体"/>
          <w:color w:val="333333"/>
          <w:kern w:val="0"/>
          <w:sz w:val="32"/>
          <w:szCs w:val="32"/>
          <w:highlight w:val="none"/>
        </w:rPr>
        <w:t>一、</w:t>
      </w:r>
      <w:r>
        <w:rPr>
          <w:rFonts w:hint="eastAsia" w:ascii="黑体" w:eastAsia="黑体" w:cs="宋体"/>
          <w:color w:val="333333"/>
          <w:kern w:val="0"/>
          <w:sz w:val="32"/>
          <w:szCs w:val="32"/>
          <w:highlight w:val="none"/>
        </w:rPr>
        <w:t>部门</w:t>
      </w:r>
      <w:r>
        <w:rPr>
          <w:rFonts w:hint="eastAsia" w:ascii="黑体" w:eastAsia="黑体"/>
          <w:color w:val="333333"/>
          <w:kern w:val="0"/>
          <w:sz w:val="32"/>
          <w:szCs w:val="32"/>
          <w:highlight w:val="none"/>
        </w:rPr>
        <w:t>概况</w:t>
      </w:r>
    </w:p>
    <w:p>
      <w:pPr>
        <w:snapToGrid w:val="0"/>
        <w:spacing w:line="600" w:lineRule="exact"/>
        <w:ind w:firstLine="640" w:firstLineChars="200"/>
        <w:rPr>
          <w:rFonts w:hint="eastAsia" w:ascii="黑体" w:eastAsia="黑体" w:cs="宋体"/>
          <w:bCs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eastAsia="黑体" w:cs="宋体"/>
          <w:bCs/>
          <w:color w:val="000000"/>
          <w:kern w:val="0"/>
          <w:sz w:val="32"/>
          <w:szCs w:val="32"/>
          <w:highlight w:val="none"/>
        </w:rPr>
        <w:t>（一）机构设置和人员情况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 w:hAnsiTheme="majorEastAsia"/>
          <w:sz w:val="32"/>
          <w:highlight w:val="none"/>
        </w:rPr>
      </w:pPr>
      <w:r>
        <w:rPr>
          <w:rFonts w:hint="eastAsia" w:ascii="仿宋_GB2312" w:eastAsia="仿宋_GB2312" w:hAnsiTheme="majorEastAsia"/>
          <w:sz w:val="32"/>
          <w:highlight w:val="none"/>
        </w:rPr>
        <w:t>沅江市科学技术和工业信息化局是2016年由沅江市科学技术局和沅江市工业和信息化局撤并组建而成，2019年知识产权的职能划归沅江市场监督管理局。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 w:hAnsiTheme="majorEastAsia"/>
          <w:sz w:val="32"/>
          <w:highlight w:val="none"/>
        </w:rPr>
      </w:pPr>
      <w:r>
        <w:rPr>
          <w:rFonts w:hint="eastAsia" w:ascii="仿宋_GB2312" w:eastAsia="仿宋_GB2312" w:hAnsiTheme="majorEastAsia"/>
          <w:sz w:val="32"/>
          <w:highlight w:val="none"/>
        </w:rPr>
        <w:t>沅江市科学技术和工业信息化局</w:t>
      </w:r>
      <w:r>
        <w:rPr>
          <w:rFonts w:hint="eastAsia" w:ascii="仿宋_GB2312" w:eastAsia="仿宋_GB2312" w:cs="宋体" w:hAnsiTheme="majorEastAsia"/>
          <w:sz w:val="32"/>
          <w:highlight w:val="none"/>
        </w:rPr>
        <w:t>内设股室10个，下设</w:t>
      </w:r>
      <w:r>
        <w:rPr>
          <w:rFonts w:hint="eastAsia" w:ascii="仿宋_GB2312" w:eastAsia="仿宋_GB2312" w:cs="宋体" w:hAnsiTheme="majorEastAsia"/>
          <w:sz w:val="32"/>
          <w:highlight w:val="none"/>
          <w:lang w:val="en-US" w:eastAsia="zh-CN"/>
        </w:rPr>
        <w:t>4</w:t>
      </w:r>
      <w:r>
        <w:rPr>
          <w:rFonts w:hint="eastAsia" w:ascii="仿宋_GB2312" w:eastAsia="仿宋_GB2312" w:cs="宋体" w:hAnsiTheme="majorEastAsia"/>
          <w:sz w:val="32"/>
          <w:highlight w:val="none"/>
        </w:rPr>
        <w:t>个二级机构，全部纳入20</w:t>
      </w:r>
      <w:r>
        <w:rPr>
          <w:rFonts w:hint="eastAsia" w:ascii="仿宋_GB2312" w:eastAsia="仿宋_GB2312" w:cs="宋体" w:hAnsiTheme="majorEastAsia"/>
          <w:sz w:val="32"/>
          <w:highlight w:val="none"/>
          <w:lang w:val="en-US" w:eastAsia="zh-CN"/>
        </w:rPr>
        <w:t>22</w:t>
      </w:r>
      <w:r>
        <w:rPr>
          <w:rFonts w:hint="eastAsia" w:ascii="仿宋_GB2312" w:eastAsia="仿宋_GB2312" w:cs="宋体" w:hAnsiTheme="majorEastAsia"/>
          <w:sz w:val="32"/>
          <w:highlight w:val="none"/>
        </w:rPr>
        <w:t>年部门预算编制范围。</w:t>
      </w:r>
      <w:r>
        <w:rPr>
          <w:rFonts w:hint="eastAsia" w:ascii="仿宋_GB2312" w:eastAsia="仿宋_GB2312" w:hAnsiTheme="majorEastAsia"/>
          <w:sz w:val="32"/>
          <w:highlight w:val="none"/>
        </w:rPr>
        <w:t>20</w:t>
      </w:r>
      <w:r>
        <w:rPr>
          <w:rFonts w:hint="eastAsia" w:ascii="仿宋_GB2312" w:eastAsia="仿宋_GB2312" w:hAnsiTheme="majorEastAsia"/>
          <w:sz w:val="32"/>
          <w:highlight w:val="none"/>
          <w:lang w:val="en-US" w:eastAsia="zh-CN"/>
        </w:rPr>
        <w:t>22</w:t>
      </w:r>
      <w:r>
        <w:rPr>
          <w:rFonts w:hint="eastAsia" w:ascii="仿宋_GB2312" w:eastAsia="仿宋_GB2312" w:hAnsiTheme="majorEastAsia"/>
          <w:sz w:val="32"/>
          <w:highlight w:val="none"/>
        </w:rPr>
        <w:t>年度有编制</w:t>
      </w:r>
      <w:r>
        <w:rPr>
          <w:rFonts w:hint="eastAsia" w:ascii="仿宋_GB2312" w:eastAsia="仿宋_GB2312" w:hAnsiTheme="majorEastAsia"/>
          <w:sz w:val="32"/>
          <w:highlight w:val="none"/>
          <w:lang w:val="en-US" w:eastAsia="zh-CN"/>
        </w:rPr>
        <w:t>32</w:t>
      </w:r>
      <w:r>
        <w:rPr>
          <w:rFonts w:hint="eastAsia" w:ascii="仿宋_GB2312" w:eastAsia="仿宋_GB2312" w:hAnsiTheme="majorEastAsia"/>
          <w:sz w:val="32"/>
          <w:highlight w:val="none"/>
        </w:rPr>
        <w:t>个，其中行政编制</w:t>
      </w:r>
      <w:r>
        <w:rPr>
          <w:rFonts w:hint="eastAsia" w:ascii="仿宋_GB2312" w:eastAsia="仿宋_GB2312" w:hAnsiTheme="majorEastAsia"/>
          <w:sz w:val="32"/>
          <w:highlight w:val="none"/>
          <w:lang w:val="en-US" w:eastAsia="zh-CN"/>
        </w:rPr>
        <w:t>15</w:t>
      </w:r>
      <w:r>
        <w:rPr>
          <w:rFonts w:hint="eastAsia" w:ascii="仿宋_GB2312" w:eastAsia="仿宋_GB2312" w:hAnsiTheme="majorEastAsia"/>
          <w:sz w:val="32"/>
          <w:highlight w:val="none"/>
        </w:rPr>
        <w:t>个，事业编制</w:t>
      </w:r>
      <w:r>
        <w:rPr>
          <w:rFonts w:hint="eastAsia" w:ascii="仿宋_GB2312" w:eastAsia="仿宋_GB2312" w:hAnsiTheme="majorEastAsia"/>
          <w:sz w:val="32"/>
          <w:highlight w:val="none"/>
          <w:lang w:val="en-US" w:eastAsia="zh-CN"/>
        </w:rPr>
        <w:t>17</w:t>
      </w:r>
      <w:r>
        <w:rPr>
          <w:rFonts w:hint="eastAsia" w:ascii="仿宋_GB2312" w:eastAsia="仿宋_GB2312" w:hAnsiTheme="majorEastAsia"/>
          <w:sz w:val="32"/>
          <w:highlight w:val="none"/>
        </w:rPr>
        <w:t>个。实有人数1</w:t>
      </w:r>
      <w:r>
        <w:rPr>
          <w:rFonts w:hint="eastAsia" w:ascii="仿宋_GB2312" w:eastAsia="仿宋_GB2312" w:hAnsiTheme="majorEastAsia"/>
          <w:sz w:val="32"/>
          <w:highlight w:val="none"/>
          <w:lang w:val="en-US" w:eastAsia="zh-CN"/>
        </w:rPr>
        <w:t>73</w:t>
      </w:r>
      <w:r>
        <w:rPr>
          <w:rFonts w:hint="eastAsia" w:ascii="仿宋_GB2312" w:eastAsia="仿宋_GB2312" w:hAnsiTheme="majorEastAsia"/>
          <w:sz w:val="32"/>
          <w:highlight w:val="none"/>
        </w:rPr>
        <w:t>人，其中在职人员</w:t>
      </w:r>
      <w:r>
        <w:rPr>
          <w:rFonts w:hint="eastAsia" w:ascii="仿宋_GB2312" w:eastAsia="仿宋_GB2312" w:hAnsiTheme="majorEastAsia"/>
          <w:sz w:val="32"/>
          <w:highlight w:val="none"/>
          <w:lang w:val="en-US" w:eastAsia="zh-CN"/>
        </w:rPr>
        <w:t>59</w:t>
      </w:r>
      <w:r>
        <w:rPr>
          <w:rFonts w:hint="eastAsia" w:ascii="仿宋_GB2312" w:eastAsia="仿宋_GB2312" w:hAnsiTheme="majorEastAsia"/>
          <w:sz w:val="32"/>
          <w:highlight w:val="none"/>
        </w:rPr>
        <w:t>人，离休人员2人，退休人员1</w:t>
      </w:r>
      <w:r>
        <w:rPr>
          <w:rFonts w:hint="eastAsia" w:ascii="仿宋_GB2312" w:eastAsia="仿宋_GB2312" w:hAnsiTheme="majorEastAsia"/>
          <w:sz w:val="32"/>
          <w:highlight w:val="none"/>
          <w:lang w:val="en-US" w:eastAsia="zh-CN"/>
        </w:rPr>
        <w:t>12</w:t>
      </w:r>
      <w:r>
        <w:rPr>
          <w:rFonts w:hint="eastAsia" w:ascii="仿宋_GB2312" w:eastAsia="仿宋_GB2312" w:hAnsiTheme="majorEastAsia"/>
          <w:sz w:val="32"/>
          <w:highlight w:val="none"/>
        </w:rPr>
        <w:t>人。</w:t>
      </w:r>
    </w:p>
    <w:p>
      <w:pPr>
        <w:ind w:firstLine="707" w:firstLineChars="221"/>
        <w:rPr>
          <w:rFonts w:ascii="黑体" w:eastAsia="黑体" w:cs="宋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eastAsia="黑体" w:cs="宋体"/>
          <w:bCs/>
          <w:color w:val="000000"/>
          <w:kern w:val="0"/>
          <w:sz w:val="32"/>
          <w:szCs w:val="32"/>
          <w:highlight w:val="none"/>
        </w:rPr>
        <w:t>(二)主要职责。</w:t>
      </w:r>
    </w:p>
    <w:p>
      <w:pPr>
        <w:spacing w:line="604" w:lineRule="exact"/>
        <w:ind w:firstLine="537" w:firstLineChars="168"/>
        <w:rPr>
          <w:rFonts w:ascii="仿宋_GB2312" w:eastAsia="仿宋_GB2312" w:cs="宋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宋体"/>
          <w:bCs/>
          <w:color w:val="000000"/>
          <w:kern w:val="0"/>
          <w:sz w:val="32"/>
          <w:szCs w:val="32"/>
          <w:highlight w:val="none"/>
        </w:rPr>
        <w:t>（一）拟订全市工业和信息化发展战略、中长期发展规划、专项规划和政策措施并组织实施，协调解决有关重大问题；综合管理全市工业经济，指导、协调和服务工业企业；推进信息化和工业化融合；推进全市经济和社会信息化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二）贯彻落实国家、省和益阳市产业政策，制定优化产业结构的配套措施并监督执行，研究规划全市产业投资布局，指导全市工业产业优化升级；负责工业和信息化领域的国防动员工作；指导工业企业安全生产和应急管理工作；联系指导工业和信息化领域行业协会和中介组织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（三）拟订并组织实施工业经济运行目标、政策和措施，负责全市工业经济的日常运行，监测分析全市工业经济运行态势，进行预测预警和信息引导，协调解决工业经济运行中的突出矛盾和问题并提出政策建议。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（四）负责工业和信息化领域法律法规和规章执行情况的监督检查，协调减轻企业负担工作；指导工业企业（市国资委负责的除外）法律顾问工作；会同有关部门负责工业企业维稳工作。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五）负责指导全市工业企业技术创新、技术进步和技术改造工作，推进企业技术创新体系建设，推进以先进适用技术改造提升传统产业；提出工业和信息化领域固定资产投资规模和方向的建议，组织实施有关科技重大专项，指导新兴产业发展，推进产学研结合和科技成果产业化；指导行业质量管理工作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六）拟订促进全市非公有制工业经济和中小企业发展的政策措施，协调解决重大问题；制定中小企业发展战略、中长期发展规划并组织实施，指导中小企业改革工作；推进中小企业服务体系和信用担保体系建设；推进全民创业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七）参与拟订能源节约和资源综合利用规划，会同有关部门组织实施节能行动方案和资源综合利用工作；拟订并组织实施工业能源节约和资源综合利用政策，组织推进清洁生产工作；参与编制全市生态建设规划，参与协调工业环境保护；组织协调相关重大示范工程和新产品、新技术、新设备、新材料的推广应用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（八）组织拟订信息化发展战略、专项规划及相关政策，协调解决重大问题；促进通信、广播电视和计算机网络融合，推动跨行业、跨部门的互联互通和重要信息资源的开发利用、共享推进全市信息化建设。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九）统一配置和管理无线电频谱资源，依法监督管理无线电台（站），协调处理军地间无线电管理相关事宜，负责管理无线电监测、检测、干扰查处，协调处理电磁干扰事宜，维护空中电波秩序，依法组织实施无线电管制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（十）协调公用通信网、互联网、广播电视网和其他专用通信网的规划和建设，促进网络资源共享；依法监管信息服务市场。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(十一)负责组织拟订软件和信息服务业发展战略、专项规划及政策，推动软件公共服务体系建设和软件业、信息服务业发展，协调解决重大问题，指导协调相关技术开发和产业发展。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（十二）负责装备工业和轻工、纺织、医药、食品、家电、冶金（含黄金）、石化（不含炼油）、化工（不含炼制燃料和燃料乙醇）建材等工业和信息化行业管理，拟订有关工业行业产业发展政策和规划。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（十三）贯彻创新驱动发展战略和创新引领开放崛起战略，拟订全市科技发展、引进国外及国内智力规划和政策并组织实施。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十四）统筹推进全市创新体系建设和科技体制改革，会同有关部门健全技术创新激励机制。优化科研体系建设，指导科研机构改革发展，推动企业科技创新能力建设，承担推进科技军民融合发展相关工作，推进全市重大科技决策咨询制度建设。拟订科学普及和科学传播规划、政策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十五）牵头建立统一的市级科技项目管理平台和科研项目资金协调、评估、监管机制。会同有关部门提出优化配置科技资源的政策措施建议，推动多元化科技投入体系建设，协调管理市级财政科技计划（专项、基金等）并组织实施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（十六）拟订科技创新基地建设规划并组织实施，参与编制科技基础建设规划和组织实施，牵头组织科技创新基地和平台建设，推动科研条件保障建设和科技资源开放共享。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（十七）编制全市科技项目计划并组织实施，统筹关键共性技术、前沿引领技术、现代工程技术、颠覆性技术研发和创新，牵头组织重大技术攻关和成果应用示范。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（十八）组织拟订高新技术发展及产业化、科技促进农业农村和社会发展的规划、政策和措施。组织开展重点领域技术发展需求分析，提出重大任务并监督实施。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（十九）负责科技成果转移转化和促进产学研结合的相关政策措施的落实。指导科技服务业、技术市场、科技金融结合和科技中介组织发展。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（二十）负责科技监督评价体系建设和相关科技评估管理，负责科技评价机制改革，统筹科研诚信建设。组织实施全市创新调查和科技报告制度，负责全市科技保密工作。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（二十一）拟订科技对外交往与创新能力开放合作的规划、政策和措施，组织开展国际和区域科技合作与科技人才交流。负责对外科技合作与科技人才交流工作。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二十二）负责引进国外和国内工作。拟订引进国内外专家总体规划、计划并组织实施，建立国外和国内科学家、团队吸引集聚机制和国内外专家联系服务机制。拟订出国（境）培训总体规划、政策和年度计划并监督实施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二十三）会同有关部门拟订科技和工业信息化领域人才队伍建设规划、负责人才开发与培训工作，建立健全人才评价和激励机制，组织实施科技人才计划，推动高端科技创新人才队伍建设。开展人力和智力对外合作交流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（二十四）负责省科学技术奖的推荐工作。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（二十五）完成市委、市政府交办的其他任务。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二十六）职能转变。围绕贯彻实施科教兴国战略、人才强国战略、创新驱动发展战略和创新引领开放崛起战略、加强、优化、转变政府科技管理和服务职能，完善科技创新制度和组织体系，加强宏观管理和统筹协调，减少微观管理和具体审批事项，加强事中事后监管和科研诚信建设。从研发管理向创新服务转变，深入推进科技计划管理改革，建立公开统一的市级科技项目管理平台，减少科技计划项目配置中的重复、分散、封闭、低效现象。进一步改进科技人才评价机制，建立健全以创新能力、质量、贡献、绩效为导向的科技人才评价体系和激励政策，统筹市内科技人才队伍建设和引进国外智力工作。</w:t>
      </w:r>
    </w:p>
    <w:p>
      <w:pPr>
        <w:spacing w:line="604" w:lineRule="exact"/>
        <w:ind w:firstLine="537" w:firstLineChars="1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（二十七）职责调整:划入外国专家管理职责。</w:t>
      </w:r>
    </w:p>
    <w:p>
      <w:pPr>
        <w:widowControl/>
        <w:shd w:val="clear" w:color="auto" w:fill="FFFFFF"/>
        <w:spacing w:line="600" w:lineRule="atLeast"/>
        <w:ind w:firstLine="480" w:firstLineChars="150"/>
        <w:jc w:val="left"/>
        <w:rPr>
          <w:rFonts w:ascii="黑体" w:eastAsia="黑体" w:cs="宋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eastAsia="黑体"/>
          <w:color w:val="333333"/>
          <w:kern w:val="0"/>
          <w:sz w:val="32"/>
          <w:szCs w:val="32"/>
          <w:highlight w:val="none"/>
        </w:rPr>
        <w:t>二、</w:t>
      </w:r>
      <w:r>
        <w:rPr>
          <w:rFonts w:hint="eastAsia" w:ascii="黑体" w:eastAsia="黑体" w:cs="宋体"/>
          <w:color w:val="333333"/>
          <w:kern w:val="0"/>
          <w:sz w:val="32"/>
          <w:szCs w:val="32"/>
          <w:highlight w:val="none"/>
        </w:rPr>
        <w:t>部门整体支出管理及</w:t>
      </w:r>
      <w:r>
        <w:rPr>
          <w:rFonts w:hint="eastAsia" w:ascii="黑体" w:eastAsia="黑体"/>
          <w:color w:val="333333"/>
          <w:kern w:val="0"/>
          <w:sz w:val="32"/>
          <w:szCs w:val="32"/>
          <w:highlight w:val="none"/>
        </w:rPr>
        <w:t>使用情况</w:t>
      </w:r>
    </w:p>
    <w:p>
      <w:pPr>
        <w:widowControl/>
        <w:shd w:val="clear" w:color="auto" w:fill="FFFFFF"/>
        <w:spacing w:line="600" w:lineRule="atLeast"/>
        <w:ind w:firstLine="643"/>
        <w:jc w:val="left"/>
        <w:rPr>
          <w:rFonts w:ascii="黑体" w:eastAsia="黑体" w:cs="宋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eastAsia="黑体" w:cs="宋体"/>
          <w:bCs/>
          <w:color w:val="333333"/>
          <w:kern w:val="0"/>
          <w:sz w:val="32"/>
          <w:szCs w:val="32"/>
          <w:highlight w:val="none"/>
        </w:rPr>
        <w:t>（一）基本支出的管理和使用情况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 w:cs="宋体"/>
          <w:sz w:val="32"/>
          <w:szCs w:val="32"/>
          <w:highlight w:val="none"/>
        </w:rPr>
      </w:pPr>
      <w:r>
        <w:rPr>
          <w:rFonts w:hint="eastAsia" w:ascii="仿宋_GB2312" w:eastAsia="仿宋_GB2312" w:cs="宋体"/>
          <w:sz w:val="32"/>
          <w:szCs w:val="32"/>
          <w:highlight w:val="none"/>
        </w:rPr>
        <w:t>我局基本支出主要用于维持局机关基本运转</w:t>
      </w:r>
      <w:r>
        <w:rPr>
          <w:rFonts w:ascii="仿宋_GB2312" w:eastAsia="仿宋_GB2312" w:cs="宋体"/>
          <w:sz w:val="32"/>
          <w:szCs w:val="32"/>
          <w:highlight w:val="none"/>
        </w:rPr>
        <w:t>，履行其部门主要职责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而发生的各项支出，</w:t>
      </w:r>
      <w:r>
        <w:rPr>
          <w:rFonts w:ascii="仿宋_GB2312" w:eastAsia="仿宋_GB2312" w:cs="宋体"/>
          <w:sz w:val="32"/>
          <w:szCs w:val="32"/>
          <w:highlight w:val="none"/>
        </w:rPr>
        <w:t>经费的开支主要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包括基本工资、津贴补贴、</w:t>
      </w:r>
      <w:r>
        <w:rPr>
          <w:rFonts w:ascii="仿宋_GB2312" w:eastAsia="仿宋_GB2312" w:cs="宋体"/>
          <w:sz w:val="32"/>
          <w:szCs w:val="32"/>
          <w:highlight w:val="none"/>
        </w:rPr>
        <w:t>奖金、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社会保障缴费、</w:t>
      </w:r>
      <w:r>
        <w:rPr>
          <w:rFonts w:ascii="仿宋_GB2312" w:eastAsia="仿宋_GB2312" w:cs="宋体"/>
          <w:sz w:val="32"/>
          <w:szCs w:val="32"/>
          <w:highlight w:val="none"/>
        </w:rPr>
        <w:t>离退休费、抚恤费、住房公积金、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办公费、印刷费、差旅费、维修（护）费、公务接待等日常公用经费等支出。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 w:cs="宋体"/>
          <w:sz w:val="32"/>
          <w:szCs w:val="32"/>
          <w:highlight w:val="none"/>
        </w:rPr>
      </w:pPr>
      <w:r>
        <w:rPr>
          <w:rFonts w:ascii="仿宋_GB2312" w:eastAsia="仿宋_GB2312" w:cs="宋体"/>
          <w:sz w:val="32"/>
          <w:szCs w:val="32"/>
          <w:highlight w:val="none"/>
        </w:rPr>
        <w:t>为了保障预算资金的规范使用，我局将财务</w:t>
      </w:r>
      <w:r>
        <w:rPr>
          <w:rFonts w:hint="eastAsia" w:ascii="仿宋_GB2312" w:eastAsia="仿宋_GB2312" w:cs="宋体"/>
          <w:sz w:val="32"/>
          <w:szCs w:val="32"/>
          <w:highlight w:val="none"/>
        </w:rPr>
        <w:t>管理工作纳入了机关管理制度，并根据要求制定机关内控手册，成立了专门的决算机构，由局长负总责，财务室负责具体编制、分管财务局长负责审核。并严格按照市财政局制定的公务接待、差旅费、培训费、会议费等相关管理办法，规范了公务支出管理。严格履行财务审批手续，做到了无计划安排不报账，无领导审批不报账，无经手人签字不报账，不符合财务规定的发票、票据不报账。经费的开支管理及费用报销均严格执行相关制度规定，坚持勤俭节约，确保资金的规范使用与安全。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我局20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  <w:highlight w:val="none"/>
        </w:rPr>
        <w:t>年年初安排预算收入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1130.51</w:t>
      </w:r>
      <w:r>
        <w:rPr>
          <w:rFonts w:hint="eastAsia" w:ascii="仿宋_GB2312" w:eastAsia="仿宋_GB2312"/>
          <w:sz w:val="32"/>
          <w:szCs w:val="32"/>
          <w:highlight w:val="none"/>
        </w:rPr>
        <w:t>万元，其中一般公共预算财政拨款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1130.51</w:t>
      </w:r>
      <w:r>
        <w:rPr>
          <w:rFonts w:hint="eastAsia" w:ascii="仿宋_GB2312" w:eastAsia="仿宋_GB2312"/>
          <w:sz w:val="32"/>
          <w:szCs w:val="32"/>
          <w:highlight w:val="none"/>
        </w:rPr>
        <w:t>万元，政府性基金预算拨款0万元。其他收入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highlight w:val="none"/>
        </w:rPr>
        <w:t>万元，年初预算支出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1130.51</w:t>
      </w:r>
      <w:r>
        <w:rPr>
          <w:rFonts w:hint="eastAsia" w:ascii="仿宋_GB2312" w:eastAsia="仿宋_GB2312"/>
          <w:sz w:val="32"/>
          <w:szCs w:val="32"/>
          <w:highlight w:val="none"/>
        </w:rPr>
        <w:t>万元，其中，基本支出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604.43</w:t>
      </w:r>
      <w:r>
        <w:rPr>
          <w:rFonts w:hint="eastAsia" w:ascii="仿宋_GB2312" w:eastAsia="仿宋_GB2312"/>
          <w:sz w:val="32"/>
          <w:szCs w:val="32"/>
          <w:highlight w:val="none"/>
        </w:rPr>
        <w:t>万元，项目支出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526.08</w:t>
      </w:r>
      <w:r>
        <w:rPr>
          <w:rFonts w:hint="eastAsia" w:ascii="仿宋_GB2312" w:eastAsia="仿宋_GB2312"/>
          <w:sz w:val="32"/>
          <w:szCs w:val="32"/>
          <w:highlight w:val="none"/>
        </w:rPr>
        <w:t>万元。基本支出中人员支出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545.43</w:t>
      </w:r>
      <w:r>
        <w:rPr>
          <w:rFonts w:hint="eastAsia" w:ascii="仿宋_GB2312" w:eastAsia="仿宋_GB2312"/>
          <w:sz w:val="32"/>
          <w:szCs w:val="32"/>
          <w:highlight w:val="none"/>
        </w:rPr>
        <w:t>万元，日常公用经费支出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59</w:t>
      </w:r>
      <w:r>
        <w:rPr>
          <w:rFonts w:hint="eastAsia" w:ascii="仿宋_GB2312" w:eastAsia="仿宋_GB2312"/>
          <w:sz w:val="32"/>
          <w:szCs w:val="32"/>
          <w:highlight w:val="none"/>
        </w:rPr>
        <w:t>万元。收支基本平衡。</w:t>
      </w:r>
    </w:p>
    <w:p>
      <w:pPr>
        <w:widowControl/>
        <w:shd w:val="clear" w:color="auto" w:fill="FFFFFF"/>
        <w:ind w:firstLine="640"/>
        <w:jc w:val="left"/>
        <w:rPr>
          <w:rFonts w:ascii="仿宋_GB2312" w:eastAsia="仿宋_GB2312" w:cs="宋体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  <w:highlight w:val="none"/>
        </w:rPr>
        <w:t>年终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决算</w:t>
      </w:r>
      <w:r>
        <w:rPr>
          <w:rFonts w:hint="eastAsia" w:ascii="仿宋_GB2312" w:eastAsia="仿宋_GB2312"/>
          <w:sz w:val="32"/>
          <w:szCs w:val="32"/>
          <w:highlight w:val="none"/>
        </w:rPr>
        <w:t>拨款收入为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4905.69</w:t>
      </w:r>
      <w:r>
        <w:rPr>
          <w:rFonts w:hint="eastAsia" w:ascii="仿宋_GB2312" w:eastAsia="仿宋_GB2312"/>
          <w:sz w:val="32"/>
          <w:szCs w:val="32"/>
          <w:highlight w:val="none"/>
        </w:rPr>
        <w:t>万元，其中一般公共财政拨款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2815.41</w:t>
      </w:r>
      <w:r>
        <w:rPr>
          <w:rFonts w:hint="eastAsia" w:ascii="仿宋_GB2312" w:eastAsia="仿宋_GB2312"/>
          <w:sz w:val="32"/>
          <w:szCs w:val="32"/>
          <w:highlight w:val="none"/>
        </w:rPr>
        <w:t>万元，政府性基金拨款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0.3</w:t>
      </w:r>
      <w:r>
        <w:rPr>
          <w:rFonts w:hint="eastAsia" w:ascii="仿宋_GB2312" w:eastAsia="仿宋_GB2312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，国有资本经营拔款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4.3万元，其他收入拔款2085.68万元。</w:t>
      </w:r>
      <w:r>
        <w:rPr>
          <w:rFonts w:hint="eastAsia" w:ascii="仿宋_GB2312" w:eastAsia="仿宋_GB2312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  <w:highlight w:val="none"/>
        </w:rPr>
        <w:t>年终决算支出为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4905.69</w:t>
      </w:r>
      <w:r>
        <w:rPr>
          <w:rFonts w:hint="eastAsia" w:ascii="仿宋_GB2312" w:eastAsia="仿宋_GB2312"/>
          <w:sz w:val="32"/>
          <w:szCs w:val="32"/>
          <w:highlight w:val="none"/>
        </w:rPr>
        <w:t>万元。其中基本支出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993.13</w:t>
      </w:r>
      <w:r>
        <w:rPr>
          <w:rFonts w:hint="eastAsia" w:ascii="仿宋_GB2312" w:eastAsia="仿宋_GB2312"/>
          <w:sz w:val="32"/>
          <w:szCs w:val="32"/>
          <w:highlight w:val="none"/>
        </w:rPr>
        <w:t>万元</w:t>
      </w:r>
      <w:r>
        <w:rPr>
          <w:rFonts w:hint="eastAsia" w:ascii="仿宋_GB2312" w:eastAsia="仿宋_GB2312" w:cs="宋体"/>
          <w:color w:val="333333"/>
          <w:kern w:val="0"/>
          <w:sz w:val="32"/>
          <w:szCs w:val="32"/>
          <w:highlight w:val="none"/>
        </w:rPr>
        <w:t>，项目支出</w:t>
      </w:r>
      <w:r>
        <w:rPr>
          <w:rFonts w:hint="eastAsia" w:ascii="仿宋_GB2312" w:eastAsia="仿宋_GB2312" w:cs="宋体"/>
          <w:color w:val="333333"/>
          <w:kern w:val="0"/>
          <w:sz w:val="32"/>
          <w:szCs w:val="32"/>
          <w:highlight w:val="none"/>
          <w:lang w:val="en-US" w:eastAsia="zh-CN"/>
        </w:rPr>
        <w:t>3912.55</w:t>
      </w:r>
      <w:r>
        <w:rPr>
          <w:rFonts w:hint="eastAsia" w:ascii="仿宋_GB2312" w:eastAsia="仿宋_GB2312" w:cs="宋体"/>
          <w:color w:val="333333"/>
          <w:kern w:val="0"/>
          <w:sz w:val="32"/>
          <w:szCs w:val="32"/>
          <w:highlight w:val="none"/>
        </w:rPr>
        <w:t>万元，基本支出中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</w:rPr>
        <w:t>人员经费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 xml:space="preserve"> 834.67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eastAsia="仿宋_GB2312" w:cs="宋体"/>
          <w:color w:val="333333"/>
          <w:kern w:val="0"/>
          <w:sz w:val="32"/>
          <w:szCs w:val="32"/>
          <w:highlight w:val="none"/>
        </w:rPr>
        <w:t>，日常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</w:rPr>
        <w:t>公用经费支出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>158.46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eastAsia="仿宋_GB2312" w:cs="宋体"/>
          <w:color w:val="333333"/>
          <w:kern w:val="0"/>
          <w:sz w:val="32"/>
          <w:szCs w:val="32"/>
          <w:highlight w:val="none"/>
        </w:rPr>
        <w:t>。年末结余结转</w:t>
      </w:r>
      <w:r>
        <w:rPr>
          <w:rFonts w:hint="eastAsia" w:ascii="仿宋_GB2312" w:eastAsia="仿宋_GB2312" w:cs="宋体"/>
          <w:color w:val="333333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 w:cs="宋体"/>
          <w:color w:val="333333"/>
          <w:kern w:val="0"/>
          <w:sz w:val="32"/>
          <w:szCs w:val="32"/>
          <w:highlight w:val="none"/>
        </w:rPr>
        <w:t>万元。</w:t>
      </w:r>
    </w:p>
    <w:p>
      <w:pPr>
        <w:widowControl/>
        <w:shd w:val="clear" w:color="auto" w:fill="FFFFFF"/>
        <w:ind w:firstLine="640"/>
        <w:jc w:val="left"/>
        <w:rPr>
          <w:rFonts w:hint="eastAsia" w:ascii="仿宋_GB2312" w:eastAsia="仿宋_GB2312"/>
          <w:color w:val="434343"/>
          <w:spacing w:val="6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eastAsia="仿宋_GB2312" w:cs="宋体"/>
          <w:color w:val="333333"/>
          <w:kern w:val="0"/>
          <w:sz w:val="32"/>
          <w:szCs w:val="32"/>
          <w:highlight w:val="none"/>
        </w:rPr>
        <w:t>20</w:t>
      </w:r>
      <w:r>
        <w:rPr>
          <w:rFonts w:hint="eastAsia" w:ascii="仿宋_GB2312" w:eastAsia="仿宋_GB2312" w:cs="宋体"/>
          <w:color w:val="333333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eastAsia="仿宋_GB2312" w:cs="宋体"/>
          <w:color w:val="333333"/>
          <w:kern w:val="0"/>
          <w:sz w:val="32"/>
          <w:szCs w:val="32"/>
          <w:highlight w:val="none"/>
        </w:rPr>
        <w:t>年我局“三公”经费预算安排支出12万元，其中，公务接待费12万元，公务用车运行费0万元，因公出国（境）费用0万元。实际“三公”经费支出</w:t>
      </w:r>
      <w:r>
        <w:rPr>
          <w:rFonts w:hint="eastAsia" w:ascii="仿宋_GB2312" w:eastAsia="仿宋_GB2312" w:cs="宋体"/>
          <w:color w:val="333333"/>
          <w:kern w:val="0"/>
          <w:sz w:val="32"/>
          <w:szCs w:val="32"/>
          <w:highlight w:val="none"/>
          <w:lang w:val="en-US" w:eastAsia="zh-CN"/>
        </w:rPr>
        <w:t>11.84</w:t>
      </w:r>
      <w:r>
        <w:rPr>
          <w:rFonts w:hint="eastAsia" w:ascii="仿宋_GB2312" w:eastAsia="仿宋_GB2312" w:cs="宋体"/>
          <w:color w:val="333333"/>
          <w:kern w:val="0"/>
          <w:sz w:val="32"/>
          <w:szCs w:val="32"/>
          <w:highlight w:val="none"/>
        </w:rPr>
        <w:t>万元，其中：公务接待经费</w:t>
      </w:r>
      <w:r>
        <w:rPr>
          <w:rFonts w:hint="eastAsia" w:ascii="仿宋_GB2312" w:eastAsia="仿宋_GB2312" w:cs="宋体"/>
          <w:color w:val="333333"/>
          <w:kern w:val="0"/>
          <w:sz w:val="32"/>
          <w:szCs w:val="32"/>
          <w:highlight w:val="none"/>
          <w:lang w:val="en-US" w:eastAsia="zh-CN"/>
        </w:rPr>
        <w:t xml:space="preserve"> 11.84</w:t>
      </w:r>
      <w:r>
        <w:rPr>
          <w:rFonts w:hint="eastAsia" w:ascii="仿宋_GB2312" w:eastAsia="仿宋_GB2312" w:cs="宋体"/>
          <w:color w:val="333333"/>
          <w:kern w:val="0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434343"/>
          <w:spacing w:val="6"/>
          <w:sz w:val="32"/>
          <w:szCs w:val="32"/>
          <w:highlight w:val="none"/>
          <w:shd w:val="clear" w:color="auto" w:fill="FFFFFF"/>
        </w:rPr>
        <w:t>公务用车运行费</w:t>
      </w:r>
      <w:r>
        <w:rPr>
          <w:rStyle w:val="11"/>
          <w:rFonts w:hint="eastAsia" w:ascii="仿宋_GB2312" w:eastAsia="仿宋_GB2312"/>
          <w:color w:val="434343"/>
          <w:spacing w:val="6"/>
          <w:sz w:val="32"/>
          <w:szCs w:val="32"/>
          <w:highlight w:val="none"/>
          <w:shd w:val="clear" w:color="auto" w:fill="FFFFFF"/>
        </w:rPr>
        <w:t> </w:t>
      </w:r>
      <w:r>
        <w:rPr>
          <w:rFonts w:hint="eastAsia" w:ascii="仿宋_GB2312" w:eastAsia="仿宋_GB2312"/>
          <w:color w:val="434343"/>
          <w:spacing w:val="6"/>
          <w:sz w:val="32"/>
          <w:szCs w:val="32"/>
          <w:highlight w:val="none"/>
          <w:shd w:val="clear" w:color="auto" w:fill="FFFFFF"/>
        </w:rPr>
        <w:t>0万元，因公出国（境）费0万元。以上三项指标均未超出预算安排</w:t>
      </w:r>
      <w:r>
        <w:rPr>
          <w:rFonts w:hint="eastAsia" w:ascii="仿宋_GB2312" w:eastAsia="仿宋_GB2312"/>
          <w:color w:val="434343"/>
          <w:spacing w:val="6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widowControl/>
        <w:shd w:val="clear" w:color="auto" w:fill="FFFFFF"/>
        <w:ind w:firstLine="640"/>
        <w:jc w:val="left"/>
        <w:rPr>
          <w:rFonts w:hint="eastAsia" w:ascii="仿宋_GB2312" w:eastAsia="仿宋_GB2312" w:cs="宋体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434343"/>
          <w:spacing w:val="6"/>
          <w:sz w:val="32"/>
          <w:szCs w:val="32"/>
          <w:highlight w:val="none"/>
          <w:shd w:val="clear" w:color="auto" w:fill="FFFFFF"/>
        </w:rPr>
        <w:t>我局20</w:t>
      </w:r>
      <w:r>
        <w:rPr>
          <w:rFonts w:hint="eastAsia" w:ascii="仿宋_GB2312" w:eastAsia="仿宋_GB2312"/>
          <w:color w:val="434343"/>
          <w:spacing w:val="6"/>
          <w:sz w:val="32"/>
          <w:szCs w:val="32"/>
          <w:highlight w:val="none"/>
          <w:shd w:val="clear" w:color="auto" w:fill="FFFFFF"/>
          <w:lang w:val="en-US" w:eastAsia="zh-CN"/>
        </w:rPr>
        <w:t>21</w:t>
      </w:r>
      <w:r>
        <w:rPr>
          <w:rFonts w:hint="eastAsia" w:ascii="仿宋_GB2312" w:eastAsia="仿宋_GB2312"/>
          <w:color w:val="434343"/>
          <w:spacing w:val="6"/>
          <w:sz w:val="32"/>
          <w:szCs w:val="32"/>
          <w:highlight w:val="none"/>
          <w:shd w:val="clear" w:color="auto" w:fill="FFFFFF"/>
        </w:rPr>
        <w:t>年“三公”经费支出数为11.</w:t>
      </w:r>
      <w:r>
        <w:rPr>
          <w:rFonts w:hint="eastAsia" w:ascii="仿宋_GB2312" w:eastAsia="仿宋_GB2312"/>
          <w:color w:val="434343"/>
          <w:spacing w:val="6"/>
          <w:sz w:val="32"/>
          <w:szCs w:val="32"/>
          <w:highlight w:val="none"/>
          <w:shd w:val="clear" w:color="auto" w:fill="FFFFFF"/>
          <w:lang w:val="en-US" w:eastAsia="zh-CN"/>
        </w:rPr>
        <w:t>83</w:t>
      </w:r>
      <w:r>
        <w:rPr>
          <w:rFonts w:hint="eastAsia" w:ascii="仿宋_GB2312" w:eastAsia="仿宋_GB2312"/>
          <w:color w:val="434343"/>
          <w:spacing w:val="6"/>
          <w:sz w:val="32"/>
          <w:szCs w:val="32"/>
          <w:highlight w:val="none"/>
          <w:shd w:val="clear" w:color="auto" w:fill="FFFFFF"/>
        </w:rPr>
        <w:t>万元。其中公务接待费用11.</w:t>
      </w:r>
      <w:r>
        <w:rPr>
          <w:rFonts w:hint="eastAsia" w:ascii="仿宋_GB2312" w:eastAsia="仿宋_GB2312"/>
          <w:color w:val="434343"/>
          <w:spacing w:val="6"/>
          <w:sz w:val="32"/>
          <w:szCs w:val="32"/>
          <w:highlight w:val="none"/>
          <w:shd w:val="clear" w:color="auto" w:fill="FFFFFF"/>
          <w:lang w:val="en-US" w:eastAsia="zh-CN"/>
        </w:rPr>
        <w:t>83</w:t>
      </w:r>
      <w:r>
        <w:rPr>
          <w:rFonts w:hint="eastAsia" w:ascii="仿宋_GB2312" w:eastAsia="仿宋_GB2312"/>
          <w:color w:val="434343"/>
          <w:spacing w:val="6"/>
          <w:sz w:val="32"/>
          <w:szCs w:val="32"/>
          <w:highlight w:val="none"/>
          <w:shd w:val="clear" w:color="auto" w:fill="FFFFFF"/>
        </w:rPr>
        <w:t>万元，公务用车运行费0万元，国公出国（境）费用0元。20</w:t>
      </w:r>
      <w:r>
        <w:rPr>
          <w:rFonts w:hint="eastAsia" w:ascii="仿宋_GB2312" w:eastAsia="仿宋_GB2312"/>
          <w:color w:val="434343"/>
          <w:spacing w:val="6"/>
          <w:sz w:val="32"/>
          <w:szCs w:val="32"/>
          <w:highlight w:val="none"/>
          <w:shd w:val="clear" w:color="auto" w:fill="FFFFFF"/>
          <w:lang w:val="en-US" w:eastAsia="zh-CN"/>
        </w:rPr>
        <w:t>22</w:t>
      </w:r>
      <w:r>
        <w:rPr>
          <w:rFonts w:hint="eastAsia" w:ascii="仿宋_GB2312" w:eastAsia="仿宋_GB2312"/>
          <w:color w:val="434343"/>
          <w:spacing w:val="6"/>
          <w:sz w:val="32"/>
          <w:szCs w:val="32"/>
          <w:highlight w:val="none"/>
          <w:shd w:val="clear" w:color="auto" w:fill="FFFFFF"/>
        </w:rPr>
        <w:t>年与上年相比，“三公”经费</w:t>
      </w:r>
      <w:r>
        <w:rPr>
          <w:rFonts w:hint="eastAsia" w:ascii="仿宋_GB2312" w:eastAsia="仿宋_GB2312"/>
          <w:color w:val="434343"/>
          <w:spacing w:val="6"/>
          <w:sz w:val="32"/>
          <w:szCs w:val="32"/>
          <w:highlight w:val="none"/>
          <w:shd w:val="clear" w:color="auto" w:fill="FFFFFF"/>
          <w:lang w:eastAsia="zh-CN"/>
        </w:rPr>
        <w:t>基本持平。</w:t>
      </w:r>
    </w:p>
    <w:p>
      <w:pPr>
        <w:widowControl/>
        <w:shd w:val="clear" w:color="auto" w:fill="FFFFFF"/>
        <w:ind w:firstLine="643"/>
        <w:jc w:val="left"/>
        <w:rPr>
          <w:rFonts w:hint="eastAsia" w:ascii="黑体" w:eastAsia="黑体" w:cs="宋体"/>
          <w:bCs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jc w:val="left"/>
        <w:rPr>
          <w:rFonts w:hint="eastAsia" w:ascii="黑体" w:eastAsia="黑体" w:cs="宋体"/>
          <w:bCs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eastAsia="黑体" w:cs="宋体"/>
          <w:bCs/>
          <w:color w:val="333333"/>
          <w:kern w:val="0"/>
          <w:sz w:val="32"/>
          <w:szCs w:val="32"/>
          <w:highlight w:val="none"/>
        </w:rPr>
        <w:t>（二）专项支出的管理和使用情况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黑体" w:eastAsia="黑体" w:cs="宋体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eastAsia="黑体" w:cs="宋体"/>
          <w:bCs/>
          <w:color w:val="333333"/>
          <w:kern w:val="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黑体" w:eastAsia="黑体" w:cs="宋体"/>
          <w:bCs/>
          <w:color w:val="333333"/>
          <w:kern w:val="0"/>
          <w:sz w:val="32"/>
          <w:szCs w:val="32"/>
          <w:highlight w:val="none"/>
        </w:rPr>
        <w:t>项目</w:t>
      </w:r>
      <w:r>
        <w:rPr>
          <w:rFonts w:hint="eastAsia" w:ascii="黑体" w:eastAsia="黑体" w:cs="宋体"/>
          <w:bCs/>
          <w:color w:val="333333"/>
          <w:kern w:val="0"/>
          <w:sz w:val="32"/>
          <w:szCs w:val="32"/>
          <w:highlight w:val="none"/>
          <w:lang w:eastAsia="zh-CN"/>
        </w:rPr>
        <w:t>资金到位情况分析</w:t>
      </w:r>
    </w:p>
    <w:p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hint="eastAsia" w:ascii="楷体" w:eastAsia="楷体" w:cs="宋体"/>
          <w:b/>
          <w:bCs/>
          <w:color w:val="333333"/>
          <w:kern w:val="0"/>
          <w:sz w:val="32"/>
          <w:szCs w:val="32"/>
          <w:highlight w:val="yellow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eastAsia="仿宋_GB2312" w:cs="宋体"/>
          <w:color w:val="333333"/>
          <w:kern w:val="0"/>
          <w:sz w:val="32"/>
          <w:szCs w:val="32"/>
          <w:highlight w:val="none"/>
        </w:rPr>
        <w:t>年我局年初预算项目资金</w:t>
      </w:r>
      <w:r>
        <w:rPr>
          <w:rFonts w:hint="eastAsia" w:ascii="仿宋_GB2312" w:eastAsia="仿宋_GB2312" w:cs="宋体"/>
          <w:color w:val="333333"/>
          <w:kern w:val="0"/>
          <w:sz w:val="32"/>
          <w:szCs w:val="32"/>
          <w:highlight w:val="none"/>
          <w:lang w:val="en-US" w:eastAsia="zh-CN"/>
        </w:rPr>
        <w:t>526.08</w:t>
      </w:r>
      <w:r>
        <w:rPr>
          <w:rFonts w:hint="eastAsia" w:ascii="仿宋_GB2312" w:eastAsia="仿宋_GB2312" w:cs="宋体"/>
          <w:color w:val="333333"/>
          <w:kern w:val="0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主要用于科技三项经费、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中小微企业创新创业大赛、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企业改制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、推进新型工业化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等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项目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。年初预算安排仅限于沅江市级预算金。</w:t>
      </w:r>
    </w:p>
    <w:p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</w:rPr>
        <w:t>年我局实际收到财政拨入项目资金共计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>3912.55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</w:rPr>
        <w:t>万元。其中：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eastAsia="zh-CN"/>
        </w:rPr>
        <w:t>教育资金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>12.73万元，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</w:rPr>
        <w:t>科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eastAsia="zh-CN"/>
        </w:rPr>
        <w:t>学技术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</w:rPr>
        <w:t>资金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>1757.96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eastAsia="zh-CN"/>
        </w:rPr>
        <w:t>科学技术资金中其他资金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>1921.9万元，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eastAsia="zh-CN"/>
        </w:rPr>
        <w:t>社会保障和就业资金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>153.88万元，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</w:rPr>
        <w:t>节能环保资金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>9.96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</w:rPr>
        <w:t>万，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eastAsia="zh-CN"/>
        </w:rPr>
        <w:t>资源勘探工业信息资金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>44.62万元，国有资本资金4.3万元，灾害防治及应急管理资金7.2万元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</w:rPr>
        <w:t>。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黑体" w:eastAsia="黑体" w:cs="宋体"/>
          <w:bCs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宋体"/>
          <w:bCs/>
          <w:color w:val="333333"/>
          <w:kern w:val="0"/>
          <w:sz w:val="32"/>
          <w:szCs w:val="32"/>
          <w:highlight w:val="none"/>
          <w:lang w:val="en-US" w:eastAsia="zh-CN"/>
        </w:rPr>
        <w:t>2、项目资金使用及管理情况分析</w:t>
      </w:r>
    </w:p>
    <w:p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>2022年我局项目支出共计3912.55万元，其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</w:rPr>
        <w:t>中：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eastAsia="zh-CN"/>
        </w:rPr>
        <w:t>教育资金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>12.73万元，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</w:rPr>
        <w:t>科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eastAsia="zh-CN"/>
        </w:rPr>
        <w:t>学技术支出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>1757.96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eastAsia="zh-CN"/>
        </w:rPr>
        <w:t>科学技术其他资金支出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>1921.9万元，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eastAsia="zh-CN"/>
        </w:rPr>
        <w:t>社会保障和就业支出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>153.88万元，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</w:rPr>
        <w:t>节能环保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eastAsia="zh-CN"/>
        </w:rPr>
        <w:t>支出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>9.96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</w:rPr>
        <w:t>万，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eastAsia="zh-CN"/>
        </w:rPr>
        <w:t>资源勘探工业信息支出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>44.62万元，国有资本支出4.3万元，灾害防治及应急管理支出7.2万元</w:t>
      </w: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</w:rPr>
        <w:t>。</w:t>
      </w:r>
    </w:p>
    <w:p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>2022年末我局项目资金结余 0万元。主要原因：我局财务制度健全，为确保各项目的顺利实施，确保项目资金的规范使用，本部门制定并不断完善了项目资金申报制度、项目资金使用及管理制度、项目资金监督管理和验收审计制度、项目实施绩效考评制度及项目资金内部控制制度，明确岗位职责分工，在专项资金管理方面，管理规范,账务处理及时，会计核算规范。专项资金严格按照国家规定的项目资金相关法律、法规的规定和我局《项目申报、实施、资金拨付管理制度》的要求管理使用，以确保资金的专款专用。</w:t>
      </w:r>
    </w:p>
    <w:p>
      <w:pPr>
        <w:widowControl/>
        <w:shd w:val="clear" w:color="auto" w:fill="FFFFFF"/>
        <w:jc w:val="left"/>
        <w:rPr>
          <w:rFonts w:hint="default" w:ascii="黑体" w:eastAsia="黑体" w:cs="宋体"/>
          <w:bCs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宋体"/>
          <w:bCs/>
          <w:color w:val="333333"/>
          <w:kern w:val="0"/>
          <w:sz w:val="32"/>
          <w:szCs w:val="32"/>
          <w:highlight w:val="none"/>
          <w:lang w:val="en-US" w:eastAsia="zh-CN"/>
        </w:rPr>
        <w:t>三、部门项目组织实施情况</w:t>
      </w:r>
    </w:p>
    <w:p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hint="default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>2022年部门项目建设主要用于科技基础研发、农村科技、科技型中小企业培育、科技平台培育管理、科技专家服务团及特派员等科技发展项目组织实施完成情况。</w:t>
      </w:r>
    </w:p>
    <w:p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>1.科技基础研发资金131万元，通过（一）科技示范乡村建设发展产业融合、稻米产业；（二）科技支撑产业集群；（三）科技成果应用与转化；（四）战略新兴科技创新专项配套经费；（五）省科技服务与创新平台配套经费；（六）高新技术企业认定、培育及科技成果评价登记；（七）科技科普示范基地、数字化乡村建设；（八）科技活动周；（九）省农村信息化示范点；（十）科技管理。</w:t>
      </w:r>
    </w:p>
    <w:p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 xml:space="preserve">2.农村科技资金25万元。通过对绿色大米的培植、稻虾养殖技术的研究及推广、特色水果品种的推广、健康养殖技术运用、克氏原螯虾与水稻轮作一体技术应用与示范、观赏彩色树种的推广、水稻种植技术运用、特色养殖技术运用、科技示范村建设来发展农村科技，壮大壮强特色经济之路。                  </w:t>
      </w:r>
    </w:p>
    <w:p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>3.科技型中小企业培育资金20万元。通过对沅江市13家中小型企业进行科技型企业培育，促进企业向科技多元化发展。</w:t>
      </w:r>
    </w:p>
    <w:p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>4.科技平台培育、管理资金9万元。通过对潇湘科技要素大市场（沅江工作站）、高新技术科技成果成果转移和转化服务平台建设及推广、企业科技创新管理平台建设与应用、基于中小企业科技成果转化平台的应用示范，多途径的扩大科技平台。</w:t>
      </w:r>
    </w:p>
    <w:p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  <w:t>5.科技专家服务团、特技特派员资金15万元。通过政府购买服务，组织科技专家服务团、科技特派员等专业队伍为企业进行服务。</w:t>
      </w:r>
    </w:p>
    <w:p>
      <w:pPr>
        <w:widowControl/>
        <w:shd w:val="clear" w:color="auto" w:fill="FFFFFF"/>
        <w:ind w:firstLine="640"/>
        <w:jc w:val="left"/>
      </w:pPr>
      <w:r>
        <w:rPr>
          <w:rFonts w:hint="eastAsia" w:ascii="黑体" w:eastAsia="黑体" w:cs="宋体"/>
          <w:color w:val="333333"/>
          <w:kern w:val="0"/>
          <w:sz w:val="32"/>
          <w:szCs w:val="32"/>
        </w:rPr>
        <w:t>四、存在的主要问题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30"/>
        <w:jc w:val="left"/>
        <w:textAlignment w:val="center"/>
        <w:rPr>
          <w:rFonts w:hint="default" w:ascii="仿宋_GB2312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333333"/>
          <w:kern w:val="0"/>
          <w:sz w:val="32"/>
          <w:szCs w:val="32"/>
          <w:highlight w:val="none"/>
          <w:lang w:val="en-US" w:eastAsia="zh-CN" w:bidi="ar-SA"/>
        </w:rPr>
        <w:t>1、</w:t>
      </w:r>
      <w:r>
        <w:rPr>
          <w:rFonts w:hint="default" w:ascii="仿宋_GB2312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 w:bidi="ar-SA"/>
        </w:rPr>
        <w:t>预算执行中，经济科目不能完全按照预算编制的执行，主要原因是在实际业务发生中，有些费用不能完全精准预估。</w:t>
      </w:r>
    </w:p>
    <w:p>
      <w:pPr>
        <w:widowControl/>
        <w:shd w:val="clear" w:color="auto" w:fill="FFFFFF"/>
        <w:ind w:firstLine="640"/>
        <w:jc w:val="left"/>
        <w:rPr>
          <w:rFonts w:hint="default" w:ascii="仿宋_GB2312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333333"/>
          <w:kern w:val="0"/>
          <w:sz w:val="32"/>
          <w:szCs w:val="32"/>
          <w:highlight w:val="none"/>
          <w:lang w:val="en-US" w:eastAsia="zh-CN" w:bidi="ar-SA"/>
        </w:rPr>
        <w:t>2、</w:t>
      </w:r>
      <w:r>
        <w:rPr>
          <w:rFonts w:hint="eastAsia" w:ascii="仿宋_GB2312" w:hAnsi="Times New Roman" w:eastAsia="仿宋_GB2312" w:cs="Times New Roman"/>
          <w:color w:val="333333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资产管理存在资产未落实到人的制度，问题有待修正。</w:t>
      </w:r>
    </w:p>
    <w:p>
      <w:pPr>
        <w:widowControl/>
        <w:shd w:val="clear" w:color="auto" w:fill="FFFFFF"/>
        <w:ind w:firstLine="640"/>
        <w:jc w:val="left"/>
        <w:rPr>
          <w:rFonts w:hint="eastAsia" w:asci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eastAsia="黑体" w:cs="宋体"/>
          <w:color w:val="333333"/>
          <w:kern w:val="0"/>
          <w:sz w:val="32"/>
          <w:szCs w:val="32"/>
        </w:rPr>
        <w:t>五</w:t>
      </w:r>
      <w:r>
        <w:rPr>
          <w:rFonts w:ascii="黑体" w:eastAsia="黑体"/>
          <w:color w:val="333333"/>
          <w:kern w:val="0"/>
          <w:sz w:val="32"/>
          <w:szCs w:val="32"/>
        </w:rPr>
        <w:t>、</w:t>
      </w:r>
      <w:r>
        <w:rPr>
          <w:rFonts w:hint="eastAsia" w:ascii="黑体" w:eastAsia="黑体" w:cs="宋体"/>
          <w:color w:val="333333"/>
          <w:kern w:val="0"/>
          <w:sz w:val="32"/>
          <w:szCs w:val="32"/>
        </w:rPr>
        <w:t>改进措施和有关建议</w:t>
      </w:r>
    </w:p>
    <w:p>
      <w:pPr>
        <w:widowControl/>
        <w:shd w:val="clear" w:color="auto" w:fill="FFFFFF"/>
        <w:ind w:firstLine="640"/>
        <w:jc w:val="left"/>
        <w:rPr>
          <w:rFonts w:hint="eastAsia" w:ascii="仿宋_GB2312" w:hAnsi="Times New Roman" w:eastAsia="仿宋_GB2312" w:cs="Times New Roman"/>
          <w:color w:val="333333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 w:cs="Times New Roman"/>
          <w:color w:val="333333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1、</w:t>
      </w:r>
      <w:r>
        <w:rPr>
          <w:rFonts w:hint="eastAsia" w:ascii="仿宋_GB2312" w:hAnsi="Times New Roman" w:eastAsia="仿宋_GB2312" w:cs="Times New Roman"/>
          <w:color w:val="333333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强化资产管理制度防止国有资产流失，做好资产管理的基础工作，进一步完善固定资产管理制度。对所占有、使用的国有资产应当定期清查盘点，对固定资产的真实性完整性进行核实，保证账账、账卡、账实相符。</w:t>
      </w:r>
    </w:p>
    <w:p>
      <w:pPr>
        <w:widowControl/>
        <w:shd w:val="clear" w:color="auto" w:fill="FFFFFF"/>
        <w:ind w:firstLine="640"/>
        <w:jc w:val="left"/>
      </w:pPr>
      <w:r>
        <w:rPr>
          <w:rFonts w:hint="eastAsia" w:ascii="仿宋_GB2312" w:eastAsia="仿宋_GB2312" w:cs="Times New Roman"/>
          <w:color w:val="333333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2、</w:t>
      </w:r>
      <w:r>
        <w:rPr>
          <w:rFonts w:hint="eastAsia" w:ascii="仿宋_GB2312" w:hAnsi="Times New Roman" w:eastAsia="仿宋_GB2312" w:cs="Times New Roman"/>
          <w:color w:val="333333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提高资产管理信息化水平，实现资产管理领域的信息化，使资产管理与预算管理更好地结合。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30"/>
        <w:jc w:val="left"/>
        <w:textAlignment w:val="center"/>
        <w:rPr>
          <w:rFonts w:hint="default" w:ascii="仿宋_GB2312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333333"/>
          <w:kern w:val="0"/>
          <w:sz w:val="32"/>
          <w:szCs w:val="32"/>
          <w:highlight w:val="none"/>
          <w:lang w:val="en-US" w:eastAsia="zh-CN" w:bidi="ar-SA"/>
        </w:rPr>
        <w:t>3、</w:t>
      </w:r>
      <w:r>
        <w:rPr>
          <w:rFonts w:hint="default" w:ascii="仿宋_GB2312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 w:bidi="ar-SA"/>
        </w:rPr>
        <w:t>细化预算编制工作，认真做好预算的编制。进一步加强内部机构的预算管理意识，严格按照预算编制的相关制度和要求，本着“勤俭节约、保障运转”的原则进行预算的编制；编制范围尽可能的全面、不漏项，进一步提高预算编制的科学性、合理性、严谨性和可控性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30"/>
        <w:jc w:val="left"/>
        <w:textAlignment w:val="center"/>
        <w:rPr>
          <w:rFonts w:hint="default" w:ascii="仿宋_GB2312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333333"/>
          <w:kern w:val="0"/>
          <w:sz w:val="32"/>
          <w:szCs w:val="32"/>
          <w:highlight w:val="none"/>
          <w:lang w:val="en-US" w:eastAsia="zh-CN" w:bidi="ar-SA"/>
        </w:rPr>
        <w:t>4、</w:t>
      </w:r>
      <w:r>
        <w:rPr>
          <w:rFonts w:hint="default" w:ascii="仿宋_GB2312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 w:bidi="ar-SA"/>
        </w:rPr>
        <w:t>在日常预算管理过程中，进一步加强预算支出的审核、跟踪及预算执行情况分析。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30"/>
        <w:jc w:val="left"/>
        <w:textAlignment w:val="center"/>
        <w:rPr>
          <w:rFonts w:hint="default" w:ascii="仿宋_GB2312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30"/>
        <w:jc w:val="left"/>
        <w:textAlignment w:val="center"/>
        <w:rPr>
          <w:rFonts w:hint="default" w:ascii="仿宋_GB2312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30"/>
        <w:jc w:val="left"/>
        <w:textAlignment w:val="center"/>
        <w:rPr>
          <w:rFonts w:hint="default" w:ascii="仿宋_GB2312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30"/>
        <w:jc w:val="left"/>
        <w:textAlignment w:val="center"/>
        <w:rPr>
          <w:rFonts w:hint="default" w:ascii="仿宋_GB2312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30"/>
        <w:jc w:val="left"/>
        <w:textAlignment w:val="center"/>
        <w:rPr>
          <w:rFonts w:hint="default" w:ascii="仿宋_GB2312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jc w:val="left"/>
        <w:textAlignment w:val="center"/>
        <w:rPr>
          <w:rFonts w:hint="default" w:ascii="仿宋_GB2312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>
      <w:pPr>
        <w:widowControl/>
        <w:shd w:val="clear" w:color="auto" w:fill="FFFFFF"/>
        <w:ind w:right="320" w:firstLine="640"/>
        <w:jc w:val="right"/>
        <w:rPr>
          <w:rFonts w:asci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eastAsia="仿宋" w:cs="宋体"/>
          <w:color w:val="333333"/>
          <w:kern w:val="0"/>
          <w:sz w:val="32"/>
          <w:szCs w:val="32"/>
        </w:rPr>
        <w:t>沅江市科学技术和工业信息化局</w:t>
      </w:r>
    </w:p>
    <w:p>
      <w:pPr>
        <w:widowControl/>
        <w:shd w:val="clear" w:color="auto" w:fill="FFFFFF"/>
        <w:wordWrap w:val="0"/>
        <w:ind w:right="640" w:firstLine="640"/>
        <w:jc w:val="center"/>
      </w:pPr>
      <w:r>
        <w:rPr>
          <w:rFonts w:hint="eastAsia" w:ascii="仿宋" w:eastAsia="仿宋" w:cs="宋体"/>
          <w:color w:val="333333"/>
          <w:kern w:val="0"/>
          <w:sz w:val="32"/>
          <w:szCs w:val="32"/>
        </w:rPr>
        <w:t>                          20</w:t>
      </w:r>
      <w:r>
        <w:rPr>
          <w:rFonts w:hint="eastAsia" w:ascii="仿宋" w:eastAsia="仿宋" w:cs="宋体"/>
          <w:color w:val="333333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eastAsia="仿宋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eastAsia="仿宋" w:cs="宋体"/>
          <w:color w:val="333333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" w:eastAsia="仿宋" w:cs="宋体"/>
          <w:color w:val="333333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600" w:lineRule="atLeast"/>
        <w:jc w:val="left"/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 w:ascii="仿宋_GB2312" w:eastAsia="仿宋_GB2312"/>
          <w:color w:val="333333"/>
          <w:kern w:val="0"/>
          <w:sz w:val="32"/>
          <w:szCs w:val="32"/>
          <w:highlight w:val="none"/>
          <w:lang w:val="en-US" w:eastAsia="zh-CN"/>
        </w:rPr>
      </w:pPr>
    </w:p>
    <w:tbl>
      <w:tblPr>
        <w:tblStyle w:val="8"/>
        <w:tblW w:w="101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194"/>
        <w:gridCol w:w="1773"/>
        <w:gridCol w:w="852"/>
        <w:gridCol w:w="1275"/>
        <w:gridCol w:w="650"/>
        <w:gridCol w:w="862"/>
        <w:gridCol w:w="1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14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500" w:lineRule="exact"/>
              <w:rPr>
                <w:rFonts w:hint="eastAsia" w:eastAsia="方正小标宋_GBK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方正小标宋_GBK"/>
                <w:color w:val="000000"/>
                <w:kern w:val="0"/>
                <w:sz w:val="30"/>
                <w:szCs w:val="30"/>
              </w:rPr>
              <w:t>预算支出绩效</w:t>
            </w:r>
            <w:r>
              <w:rPr>
                <w:rFonts w:eastAsia="方正小标宋_GBK"/>
                <w:color w:val="000000"/>
                <w:kern w:val="0"/>
                <w:sz w:val="30"/>
                <w:szCs w:val="30"/>
                <w:highlight w:val="none"/>
              </w:rPr>
              <w:t>自评</w:t>
            </w:r>
            <w:r>
              <w:rPr>
                <w:rFonts w:eastAsia="方正小标宋_GBK"/>
                <w:color w:val="000000"/>
                <w:kern w:val="0"/>
                <w:sz w:val="30"/>
                <w:szCs w:val="30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（ </w:t>
            </w: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2022</w:t>
            </w:r>
            <w:r>
              <w:rPr>
                <w:color w:val="000000"/>
                <w:kern w:val="0"/>
                <w:sz w:val="22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90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科技三项专项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科学技术和工业信息化局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科学技术和工业信息化局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526.08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3912..55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3912..55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526.08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3912..55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3912..55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4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上年结转资金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4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提高全市人民科学文化素质，扩大科普范围，加强项目扶持，实施“科技支撑、产业升级”培育市域特色产业，大力推动和转化科技成果，促进全市经济可持续发展。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全面完成计划任务，提升市民科学素质，为经济发展提供科技支撑，提升经济发展中科技指标。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科普活动8次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15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15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……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科技示范乡村建设1个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50" w:firstLineChars="100"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20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……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年度完成按时完成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1年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1年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……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科技活动周和示范乡村建设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24万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24万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……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0分）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促进产业增收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176万</w:t>
            </w: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176万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10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10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提升全民科学素质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100%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100%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10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10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……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科技成果应用与转化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100%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100%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10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10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……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可持续影响指标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5"/>
                <w:szCs w:val="15"/>
                <w:lang w:val="en-US" w:eastAsia="zh-CN"/>
              </w:rPr>
              <w:t>高新技术企业认定、培育及科技成果评价登记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100%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100%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10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满意度提高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　100%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10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10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……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总分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</w:tr>
    </w:tbl>
    <w:p>
      <w:pPr>
        <w:rPr>
          <w:rFonts w:hint="default" w:eastAsia="仿宋_GB2312"/>
          <w:sz w:val="21"/>
          <w:szCs w:val="21"/>
          <w:lang w:val="en-US" w:eastAsia="zh-CN"/>
        </w:rPr>
      </w:pPr>
      <w:r>
        <w:rPr>
          <w:rFonts w:eastAsia="仿宋_GB2312"/>
          <w:sz w:val="21"/>
          <w:szCs w:val="21"/>
        </w:rPr>
        <w:t xml:space="preserve">填表人： </w:t>
      </w:r>
      <w:r>
        <w:rPr>
          <w:rFonts w:hint="eastAsia" w:eastAsia="仿宋_GB2312"/>
          <w:sz w:val="21"/>
          <w:szCs w:val="21"/>
          <w:lang w:val="en-US" w:eastAsia="zh-CN"/>
        </w:rPr>
        <w:t>聂娜</w:t>
      </w:r>
      <w:r>
        <w:rPr>
          <w:rFonts w:eastAsia="仿宋_GB2312"/>
          <w:sz w:val="21"/>
          <w:szCs w:val="21"/>
        </w:rPr>
        <w:t xml:space="preserve">  填报日期：</w:t>
      </w:r>
      <w:r>
        <w:rPr>
          <w:rFonts w:hint="eastAsia" w:eastAsia="仿宋_GB2312"/>
          <w:sz w:val="21"/>
          <w:szCs w:val="21"/>
          <w:lang w:val="en-US" w:eastAsia="zh-CN"/>
        </w:rPr>
        <w:t>2022.4.28</w:t>
      </w:r>
      <w:r>
        <w:rPr>
          <w:rFonts w:eastAsia="仿宋_GB2312"/>
          <w:sz w:val="21"/>
          <w:szCs w:val="21"/>
        </w:rPr>
        <w:t xml:space="preserve">   联系电话： </w:t>
      </w:r>
      <w:r>
        <w:rPr>
          <w:rFonts w:hint="eastAsia" w:eastAsia="仿宋_GB2312"/>
          <w:sz w:val="21"/>
          <w:szCs w:val="21"/>
          <w:lang w:val="en-US" w:eastAsia="zh-CN"/>
        </w:rPr>
        <w:t>13762703635</w:t>
      </w:r>
      <w:r>
        <w:rPr>
          <w:rFonts w:eastAsia="仿宋_GB2312"/>
          <w:sz w:val="21"/>
          <w:szCs w:val="21"/>
        </w:rPr>
        <w:t xml:space="preserve">  单位负责人签字</w:t>
      </w:r>
      <w:r>
        <w:rPr>
          <w:rFonts w:hint="eastAsia" w:eastAsia="仿宋_GB2312"/>
          <w:sz w:val="21"/>
          <w:szCs w:val="21"/>
          <w:lang w:eastAsia="zh-CN"/>
        </w:rPr>
        <w:t>：李斌</w:t>
      </w:r>
      <w:r>
        <w:rPr>
          <w:rFonts w:hint="eastAsia" w:eastAsia="仿宋_GB2312"/>
          <w:sz w:val="21"/>
          <w:szCs w:val="21"/>
          <w:lang w:val="en-US" w:eastAsia="zh-CN"/>
        </w:rPr>
        <w:t xml:space="preserve"> </w:t>
      </w:r>
    </w:p>
    <w:sectPr>
      <w:pgSz w:w="11907" w:h="16840"/>
      <w:pgMar w:top="1440" w:right="1797" w:bottom="141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ODRkOTEwMTY0Y2ExYmQxZjgyMDhiYTI2NGQ2OGMifQ=="/>
  </w:docVars>
  <w:rsids>
    <w:rsidRoot w:val="00296801"/>
    <w:rsid w:val="00062442"/>
    <w:rsid w:val="000764BF"/>
    <w:rsid w:val="000875F6"/>
    <w:rsid w:val="000B204C"/>
    <w:rsid w:val="000F50B0"/>
    <w:rsid w:val="00127955"/>
    <w:rsid w:val="001A6D73"/>
    <w:rsid w:val="00296801"/>
    <w:rsid w:val="00312429"/>
    <w:rsid w:val="003443AD"/>
    <w:rsid w:val="004171C8"/>
    <w:rsid w:val="0043023C"/>
    <w:rsid w:val="00527C9F"/>
    <w:rsid w:val="005D38E1"/>
    <w:rsid w:val="005E79A9"/>
    <w:rsid w:val="006554EE"/>
    <w:rsid w:val="006754A9"/>
    <w:rsid w:val="006A47E8"/>
    <w:rsid w:val="006D0AAB"/>
    <w:rsid w:val="006D0CE9"/>
    <w:rsid w:val="006D3E0E"/>
    <w:rsid w:val="006D7616"/>
    <w:rsid w:val="007469DC"/>
    <w:rsid w:val="00773196"/>
    <w:rsid w:val="007F092E"/>
    <w:rsid w:val="00841444"/>
    <w:rsid w:val="00896A1A"/>
    <w:rsid w:val="008C03CC"/>
    <w:rsid w:val="00912E4F"/>
    <w:rsid w:val="00924AA4"/>
    <w:rsid w:val="00962FF1"/>
    <w:rsid w:val="009B7BB6"/>
    <w:rsid w:val="00B46430"/>
    <w:rsid w:val="00B64266"/>
    <w:rsid w:val="00BD0481"/>
    <w:rsid w:val="00C2782E"/>
    <w:rsid w:val="00C6321B"/>
    <w:rsid w:val="00CF6ED6"/>
    <w:rsid w:val="00DB4C4A"/>
    <w:rsid w:val="00DF3270"/>
    <w:rsid w:val="00E265E6"/>
    <w:rsid w:val="00E51E57"/>
    <w:rsid w:val="00EE0EEA"/>
    <w:rsid w:val="00F35451"/>
    <w:rsid w:val="00F5772D"/>
    <w:rsid w:val="00F81907"/>
    <w:rsid w:val="00FB3B66"/>
    <w:rsid w:val="00FE7A58"/>
    <w:rsid w:val="022C4CC8"/>
    <w:rsid w:val="02374DF5"/>
    <w:rsid w:val="02443B5F"/>
    <w:rsid w:val="0252065E"/>
    <w:rsid w:val="03517658"/>
    <w:rsid w:val="04AB6743"/>
    <w:rsid w:val="05F93AA5"/>
    <w:rsid w:val="06283CD7"/>
    <w:rsid w:val="065344DE"/>
    <w:rsid w:val="08B035FE"/>
    <w:rsid w:val="0BC1398A"/>
    <w:rsid w:val="0CD03677"/>
    <w:rsid w:val="0DB311E1"/>
    <w:rsid w:val="10606E43"/>
    <w:rsid w:val="111A162D"/>
    <w:rsid w:val="128F1451"/>
    <w:rsid w:val="14094ECD"/>
    <w:rsid w:val="148A05A0"/>
    <w:rsid w:val="14BE5A3B"/>
    <w:rsid w:val="15965D1B"/>
    <w:rsid w:val="15A1556F"/>
    <w:rsid w:val="161B1459"/>
    <w:rsid w:val="16220F65"/>
    <w:rsid w:val="16467381"/>
    <w:rsid w:val="167C6E17"/>
    <w:rsid w:val="17E662D1"/>
    <w:rsid w:val="18F0771F"/>
    <w:rsid w:val="199610D0"/>
    <w:rsid w:val="1AC711AC"/>
    <w:rsid w:val="1AEA7DFD"/>
    <w:rsid w:val="1B1A2CA3"/>
    <w:rsid w:val="1B9E24AA"/>
    <w:rsid w:val="1C667F82"/>
    <w:rsid w:val="1CBE47EA"/>
    <w:rsid w:val="1D4467D4"/>
    <w:rsid w:val="1D73484D"/>
    <w:rsid w:val="1D74500E"/>
    <w:rsid w:val="1E435009"/>
    <w:rsid w:val="1E95723F"/>
    <w:rsid w:val="1EA54709"/>
    <w:rsid w:val="1EDE403D"/>
    <w:rsid w:val="2011123A"/>
    <w:rsid w:val="20CC6F0F"/>
    <w:rsid w:val="21EB5640"/>
    <w:rsid w:val="23905C91"/>
    <w:rsid w:val="25DB303F"/>
    <w:rsid w:val="26810490"/>
    <w:rsid w:val="277541C5"/>
    <w:rsid w:val="278E0E3B"/>
    <w:rsid w:val="27C26FA6"/>
    <w:rsid w:val="294E077D"/>
    <w:rsid w:val="29995382"/>
    <w:rsid w:val="2A3D2C2B"/>
    <w:rsid w:val="2A584053"/>
    <w:rsid w:val="2ABA427C"/>
    <w:rsid w:val="2C8C364E"/>
    <w:rsid w:val="2D607E45"/>
    <w:rsid w:val="2D850B71"/>
    <w:rsid w:val="2DA3344F"/>
    <w:rsid w:val="2DDE13D5"/>
    <w:rsid w:val="2DDE64D3"/>
    <w:rsid w:val="2EA40D2E"/>
    <w:rsid w:val="2EAB7477"/>
    <w:rsid w:val="2EE50ED3"/>
    <w:rsid w:val="30860E34"/>
    <w:rsid w:val="30BD7A03"/>
    <w:rsid w:val="31BA6E17"/>
    <w:rsid w:val="3281224F"/>
    <w:rsid w:val="32C10855"/>
    <w:rsid w:val="33F9737F"/>
    <w:rsid w:val="34295EA4"/>
    <w:rsid w:val="3438756A"/>
    <w:rsid w:val="36BF6714"/>
    <w:rsid w:val="37BB3FD1"/>
    <w:rsid w:val="37C3456E"/>
    <w:rsid w:val="38F60BFD"/>
    <w:rsid w:val="3A355F61"/>
    <w:rsid w:val="3A807D78"/>
    <w:rsid w:val="3B856CDB"/>
    <w:rsid w:val="3BAC223C"/>
    <w:rsid w:val="3BEE0B43"/>
    <w:rsid w:val="3CDB255C"/>
    <w:rsid w:val="3D204412"/>
    <w:rsid w:val="3E655CF3"/>
    <w:rsid w:val="3EAE78E3"/>
    <w:rsid w:val="3F9B3428"/>
    <w:rsid w:val="40E70812"/>
    <w:rsid w:val="40FE02EA"/>
    <w:rsid w:val="41782A9B"/>
    <w:rsid w:val="41912D8F"/>
    <w:rsid w:val="41F03714"/>
    <w:rsid w:val="43C15F14"/>
    <w:rsid w:val="45636750"/>
    <w:rsid w:val="463B7C4C"/>
    <w:rsid w:val="47080E25"/>
    <w:rsid w:val="4767424C"/>
    <w:rsid w:val="488D6991"/>
    <w:rsid w:val="48DC7D87"/>
    <w:rsid w:val="4AFB5C42"/>
    <w:rsid w:val="4B5C68A2"/>
    <w:rsid w:val="4B9646BA"/>
    <w:rsid w:val="4BE5302B"/>
    <w:rsid w:val="4C2F1876"/>
    <w:rsid w:val="4C6F799E"/>
    <w:rsid w:val="4DF276D6"/>
    <w:rsid w:val="4E886E02"/>
    <w:rsid w:val="506C01F4"/>
    <w:rsid w:val="50F86627"/>
    <w:rsid w:val="50F86A85"/>
    <w:rsid w:val="5248208D"/>
    <w:rsid w:val="543351A9"/>
    <w:rsid w:val="54772DEC"/>
    <w:rsid w:val="547F6ED8"/>
    <w:rsid w:val="54841129"/>
    <w:rsid w:val="54D33DE2"/>
    <w:rsid w:val="56A90A75"/>
    <w:rsid w:val="56B23691"/>
    <w:rsid w:val="56F54ED7"/>
    <w:rsid w:val="575206DF"/>
    <w:rsid w:val="59505392"/>
    <w:rsid w:val="596B480F"/>
    <w:rsid w:val="5A4D104F"/>
    <w:rsid w:val="5BB62ED0"/>
    <w:rsid w:val="5C0E687A"/>
    <w:rsid w:val="5C27377C"/>
    <w:rsid w:val="5C2E0756"/>
    <w:rsid w:val="5D2E2B05"/>
    <w:rsid w:val="5DD07337"/>
    <w:rsid w:val="5E1100D9"/>
    <w:rsid w:val="5E1E2541"/>
    <w:rsid w:val="5F1514A5"/>
    <w:rsid w:val="5FB47405"/>
    <w:rsid w:val="5FC03B07"/>
    <w:rsid w:val="60CF4EB0"/>
    <w:rsid w:val="61113EEE"/>
    <w:rsid w:val="61172E02"/>
    <w:rsid w:val="61906BE0"/>
    <w:rsid w:val="61E66D54"/>
    <w:rsid w:val="61F616BC"/>
    <w:rsid w:val="62053E07"/>
    <w:rsid w:val="623C31ED"/>
    <w:rsid w:val="629D3C8C"/>
    <w:rsid w:val="62B64D4D"/>
    <w:rsid w:val="62BC1052"/>
    <w:rsid w:val="635445D3"/>
    <w:rsid w:val="6412546B"/>
    <w:rsid w:val="651378FE"/>
    <w:rsid w:val="653E30B5"/>
    <w:rsid w:val="654716F9"/>
    <w:rsid w:val="65817895"/>
    <w:rsid w:val="65EC2168"/>
    <w:rsid w:val="66AD1C0E"/>
    <w:rsid w:val="67627252"/>
    <w:rsid w:val="67CF6F52"/>
    <w:rsid w:val="68D73C6F"/>
    <w:rsid w:val="6A6F2220"/>
    <w:rsid w:val="6AC85BBE"/>
    <w:rsid w:val="6B7E443E"/>
    <w:rsid w:val="6C084ACD"/>
    <w:rsid w:val="6C290C2E"/>
    <w:rsid w:val="6CC16768"/>
    <w:rsid w:val="6DF21015"/>
    <w:rsid w:val="6E2837BF"/>
    <w:rsid w:val="6E7235EA"/>
    <w:rsid w:val="70C66AA3"/>
    <w:rsid w:val="70FC4273"/>
    <w:rsid w:val="710169DA"/>
    <w:rsid w:val="729865D4"/>
    <w:rsid w:val="73BE521F"/>
    <w:rsid w:val="73CF5C6F"/>
    <w:rsid w:val="75562D74"/>
    <w:rsid w:val="76915BFB"/>
    <w:rsid w:val="76AC7995"/>
    <w:rsid w:val="779A6594"/>
    <w:rsid w:val="77A0581B"/>
    <w:rsid w:val="77BD1B48"/>
    <w:rsid w:val="77C16EAD"/>
    <w:rsid w:val="787B31CC"/>
    <w:rsid w:val="78D236E5"/>
    <w:rsid w:val="7A97500D"/>
    <w:rsid w:val="7B442B1D"/>
    <w:rsid w:val="7BD31A57"/>
    <w:rsid w:val="7C635AEE"/>
    <w:rsid w:val="7D0E60B8"/>
    <w:rsid w:val="7DCE51E9"/>
    <w:rsid w:val="7E353C11"/>
    <w:rsid w:val="7EE12CFA"/>
    <w:rsid w:val="7FB4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rPr>
      <w:rFonts w:ascii="宋体" w:hAnsi="宋体" w:eastAsia="宋体"/>
      <w:b/>
      <w:sz w:val="30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apple-converted-space"/>
    <w:basedOn w:val="9"/>
    <w:qFormat/>
    <w:uiPriority w:val="0"/>
  </w:style>
  <w:style w:type="paragraph" w:customStyle="1" w:styleId="12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customStyle="1" w:styleId="13">
    <w:name w:val="15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12</Pages>
  <Words>5579</Words>
  <Characters>5957</Characters>
  <Lines>38</Lines>
  <Paragraphs>10</Paragraphs>
  <TotalTime>0</TotalTime>
  <ScaleCrop>false</ScaleCrop>
  <LinksUpToDate>false</LinksUpToDate>
  <CharactersWithSpaces>6110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2018-07-30T01:35:00Z</dcterms:created>
  <dc:creator>User</dc:creator>
  <cp:lastModifiedBy>孙泽宇</cp:lastModifiedBy>
  <cp:lastPrinted>2021-08-23T14:24:00Z</cp:lastPrinted>
  <dcterms:modified xsi:type="dcterms:W3CDTF">2023-11-09T02:58:36Z</dcterms:modified>
  <dc:title>2016年度市政府金融办整体支出绩效评价报告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9DBE8E1675014D128AF5518008B2C29B_13</vt:lpwstr>
  </property>
</Properties>
</file>