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880" w:firstLineChars="200"/>
        <w:jc w:val="center"/>
        <w:textAlignment w:val="auto"/>
        <w:rPr>
          <w:rFonts w:ascii="方正大标宋简体" w:hAnsi="方正大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880" w:firstLineChars="200"/>
        <w:jc w:val="center"/>
        <w:textAlignment w:val="auto"/>
        <w:rPr>
          <w:rFonts w:ascii="方正大标宋简体"/>
          <w:sz w:val="44"/>
          <w:szCs w:val="44"/>
        </w:rPr>
      </w:pPr>
      <w:r>
        <w:rPr>
          <w:rFonts w:ascii="方正大标宋简体" w:hAnsi="方正大标宋简体"/>
          <w:sz w:val="44"/>
          <w:szCs w:val="44"/>
        </w:rPr>
        <w:t>沅江市交通运输局2022年度部门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880" w:firstLineChars="200"/>
        <w:jc w:val="center"/>
        <w:textAlignment w:val="auto"/>
        <w:rPr>
          <w:rFonts w:ascii="方正大标宋简体" w:hAnsi="方正大标宋简体"/>
          <w:sz w:val="44"/>
          <w:szCs w:val="44"/>
        </w:rPr>
      </w:pPr>
      <w:r>
        <w:rPr>
          <w:rFonts w:ascii="方正大标宋简体" w:hAnsi="方正大标宋简体"/>
          <w:sz w:val="44"/>
          <w:szCs w:val="44"/>
        </w:rPr>
        <w:t>整体支出绩效评价报告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36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（一）机构设置情况。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ascii="仿宋_GB2312" w:hAnsi="Times New Roman" w:cs="Times New Roman"/>
          <w:kern w:val="2"/>
          <w:sz w:val="32"/>
          <w:szCs w:val="32"/>
        </w:rPr>
      </w:pPr>
      <w:r>
        <w:rPr>
          <w:rFonts w:ascii="仿宋_GB2312" w:hAnsi="仿宋_GB2312" w:cs="Times New Roman"/>
          <w:kern w:val="2"/>
          <w:sz w:val="32"/>
          <w:szCs w:val="32"/>
        </w:rPr>
        <w:t>根据编委核定，我局内设处室11个，所属事业单位6个，全部纳入2022年部门预算编制范围。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ascii="仿宋_GB2312" w:hAnsi="Times New Roman" w:cs="Times New Roman"/>
          <w:kern w:val="2"/>
          <w:sz w:val="32"/>
          <w:szCs w:val="32"/>
        </w:rPr>
      </w:pPr>
      <w:r>
        <w:rPr>
          <w:rFonts w:ascii="仿宋_GB2312" w:hAnsi="仿宋_GB2312" w:cs="Times New Roman"/>
          <w:kern w:val="2"/>
          <w:sz w:val="32"/>
          <w:szCs w:val="32"/>
        </w:rPr>
        <w:t>内设处室分别是办公室、人事股、财务审计股、法制审批股、安全监督股（应急办公室）、计划统计股、基本建设股、道路运输管理股、水路运输管理股、公路管理股、信访办公室。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所属事业单位分别是沅江市道路运输服务中心、沅江市交通建设质量安全监督站，沅江市交通运输综合行政执法大队，沅江市水运事务中心，沅江市车辆超限超载竹莲检测站，沅江市交通运输指挥信息中心。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人员情况。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我局纳入部门预算编制264人。其中：公务员及参公人员19人，事业编制人员245人，离退休人员93人，遗属8人。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（三）主要工作职责。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1.贯彻执行国家、省市交通运输法律、法规和政策；参与起草交通运输地方性法规、制度；拟定全市交通运输行业管理规范性文件。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2.根据权限负责全市交通运输行业行政许可、行政处罚、行政强制、行政检查和实施其他行政权力；委托授权相关单位实施行政处罚、行政强制、行政检查和其他行政权力；负责全市交通行政执法检查监督。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3.组织拟订全市综合交通运输发展规划，指导协调执行交通运输规划，组织编制全市公路、水路等交通基础设施发展年度计划并监督实施；参与拟订和实施全市物流业发展战略和规划，拟定有关物流发展的政策和标准并监督实施；负责交通运输行业统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4.负责全市交通基础设施建设和质量安全监管，负责监督执行交通基础设施建设与维护的技术规范和标准，维护交通建设市秩序，负责交通工程造价、工程质量、安全生产的监督管理；组织指导全市交通设施的维护；承担全市公路、水路等交通基本建设项目的绩效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5.负责全市道路运输市场管理。负责机动车维护和营运车辆检测等行业管理；负责道路运输行业从业人员技术培训和定级管理；监督执行交通运输政策、技术规范和技术标准，优化交通运输行业结构；组织指导全市城乡客货运输；组织协调国家重点物质和应急客货运输，维护交通运输市场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6.负责全市水路运输市场管理。负责辖区内水上交通企业、营运船舶的审批管理；负责组织协调水上重点物资、防汛抢险的船舶调运工作；负责水运综合统计和统计信息系统的管理工作；负责水上交通运输安全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7.负责全市公路、水路等交通设施投资管理。负责提出交通固定资产规模、方向和财政性资金安排的建议；按市政府规定权限审批，核准交通固定资产投资项目；负责交通运输预算内资金的申请和拨付。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8.组织指导局所属单位职工培训、人才交流和劳资工作；负责所属单位干部管理。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9.拟定地方性交通运输行业科技政策和规划、组织重大科技开发、推动行业技术进步、推进交通运输信息化建设、指导行业内环境保护和节能减排工作。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10.组织协调全市地方交通战备工作，指导开展对外交流合作。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11.承办市委、市人民政府和上级业务主管部门交办的其他事项。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二、部门整体支出管理及使用情况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（一）基本支出的管理和使用情况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1、介绍基本支出的主要用途范围及资金的管理情况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 w:hAnsi="仿宋_GB2312"/>
          <w:sz w:val="32"/>
          <w:szCs w:val="32"/>
          <w:lang w:val="en-US" w:eastAsia="zh-CN"/>
        </w:rPr>
      </w:pPr>
      <w:r>
        <w:rPr>
          <w:rFonts w:ascii="仿宋_GB2312" w:hAnsi="仿宋_GB2312"/>
          <w:sz w:val="32"/>
          <w:szCs w:val="32"/>
          <w:lang w:val="en-US" w:eastAsia="zh-CN"/>
        </w:rPr>
        <w:t>2022年度财政拨款基本支出中，人员经费主要包括基本工资、津贴补贴、奖金、伙食补助费；公用经费主要包括办公费、印刷费、咨询费、手续费。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宋体" w:cs="Times New Roman"/>
          <w:kern w:val="2"/>
          <w:sz w:val="32"/>
          <w:szCs w:val="32"/>
          <w:lang w:val="en-US" w:eastAsia="zh-CN" w:bidi="ar-SA"/>
        </w:rPr>
        <w:t>年初总预算收支情况。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 w:eastAsia="宋体" w:cs="Times New Roman"/>
          <w:kern w:val="2"/>
          <w:sz w:val="32"/>
          <w:szCs w:val="32"/>
          <w:lang w:val="en-US" w:eastAsia="zh-CN" w:bidi="ar-SA"/>
        </w:rPr>
        <w:t>收入预算：包括一般公共预算、政府</w:t>
      </w:r>
      <w:r>
        <w:rPr>
          <w:rFonts w:ascii="仿宋_GB2312" w:hAnsi="仿宋_GB2312"/>
          <w:sz w:val="32"/>
          <w:szCs w:val="32"/>
        </w:rPr>
        <w:t>性基金、国有资本经营预算等财政拨款收入，以及经营收入、事业收入等单位资金。2022年本部门收入预算3579.97万元，其中，一般公共预算拨款3579.97万元（经费拨款2764.97万元，纳入一般公共预算管理的非税收入拨款815万元），其他收入0万元，上年结余结转资金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</w:pPr>
      <w:r>
        <w:rPr>
          <w:rFonts w:ascii="仿宋_GB2312" w:hAnsi="仿宋_GB2312"/>
          <w:sz w:val="32"/>
          <w:szCs w:val="32"/>
        </w:rPr>
        <w:t>支出预算：2022年本部门支出预算3579.97万元，其中，交通运输支出3378.61万元,住房保障支出201.36万元。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本年财政拨款预算追加及年度可用财政拨款预算指标情况。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default" w:ascii="仿宋_GB2312" w:hAnsi="仿宋_GB2312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宋体" w:cs="Times New Roman"/>
          <w:kern w:val="2"/>
          <w:sz w:val="32"/>
          <w:szCs w:val="32"/>
          <w:lang w:val="en-US" w:eastAsia="zh-CN" w:bidi="ar-SA"/>
        </w:rPr>
        <w:t>2022年本部门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财政拨款</w:t>
      </w:r>
      <w:r>
        <w:rPr>
          <w:rFonts w:ascii="仿宋_GB2312" w:hAnsi="仿宋_GB2312" w:eastAsia="宋体" w:cs="Times New Roman"/>
          <w:kern w:val="2"/>
          <w:sz w:val="32"/>
          <w:szCs w:val="32"/>
          <w:lang w:val="en-US" w:eastAsia="zh-CN" w:bidi="ar-SA"/>
        </w:rPr>
        <w:t>预算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追加38663.57</w:t>
      </w:r>
      <w:r>
        <w:rPr>
          <w:rFonts w:ascii="仿宋_GB2312" w:hAnsi="仿宋_GB2312" w:eastAsia="宋体" w:cs="Times New Roman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增加的拨款系项目支出的拨款，主要是交通基础设施建设项目，年度可用财政拨款预算指标为42243.54万元。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年度预算收入决算情况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</w:pPr>
      <w:r>
        <w:rPr>
          <w:rFonts w:ascii="仿宋_GB2312" w:hAnsi="仿宋_GB2312" w:eastAsia="宋体" w:cs="Times New Roman"/>
          <w:color w:val="auto"/>
          <w:kern w:val="2"/>
          <w:sz w:val="32"/>
          <w:szCs w:val="32"/>
          <w:lang w:val="en-US" w:eastAsia="zh-CN" w:bidi="ar-SA"/>
        </w:rPr>
        <w:t>2022年度收入合计44440.66万元，其中：财政拨款收入42243.54万元，占95.06%；上级补助收入0万元，占0%；事业收入0万元，占0%；经营收入0万元，占0%；附属单位上缴收入0万元，占0%；其他收入2197.12万元，占4.94%。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年度预算支出决算及结余情况。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 w:hAnsi="仿宋_GB2312" w:eastAsia="宋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宋体" w:cs="Times New Roman"/>
          <w:color w:val="auto"/>
          <w:kern w:val="2"/>
          <w:sz w:val="32"/>
          <w:szCs w:val="32"/>
          <w:lang w:val="en-US" w:eastAsia="zh-CN" w:bidi="ar-SA"/>
        </w:rPr>
        <w:t>2022年度支出合计44440.66万元，其中：基本支出2581.32万元，占5.81%；项目支出41859.34万元，占94.19%；上缴上级支出0万元，占0%；经营支出0万元，占0%；对附属单位补助支出0万元，占0%。无结余。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本年“三公经费”预算情况。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 w:hAnsi="仿宋_GB2312" w:eastAsia="宋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宋体" w:cs="Times New Roman"/>
          <w:color w:val="auto"/>
          <w:kern w:val="2"/>
          <w:sz w:val="32"/>
          <w:szCs w:val="32"/>
          <w:lang w:val="en-US" w:eastAsia="zh-CN" w:bidi="ar-SA"/>
        </w:rPr>
        <w:t>2022年本部门机关本级“三公”经费预算数为32万元，其中，公务接待费24万元，公务用车购置及运行费8万元（其中，公务用车购置费0万元，公务用车运行费8万元），因公出国（境）费0万元。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“三公经费”预算执行情况。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</w:pPr>
      <w:r>
        <w:rPr>
          <w:rFonts w:ascii="仿宋_GB2312" w:hAnsi="仿宋_GB2312" w:cs="Times New Roman"/>
          <w:kern w:val="2"/>
          <w:sz w:val="32"/>
          <w:szCs w:val="32"/>
        </w:rPr>
        <w:t>2022年度“三公”经费财政拨款支出决算中，公务接待费支出决算9.39万元，占45.58%,因公出国（境）费支出决算0万元，占0%,公务用车购置费及运行维护费支出决算11.21万元，占54.42%。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与上年比较“三公经费”控制情况。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</w:pPr>
      <w:r>
        <w:rPr>
          <w:rFonts w:ascii="仿宋_GB2312" w:hAnsi="仿宋_GB2312"/>
          <w:sz w:val="32"/>
          <w:szCs w:val="32"/>
        </w:rPr>
        <w:t>2022年“三公”经费预算较2021年减少0.02万元，减少原因厉行节约。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（二）专项支出的管理和使用情况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1.专项资金（包括财政资金、自筹资金等）安排落实，总投入等情况分析。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</w:pPr>
      <w:r>
        <w:rPr>
          <w:rFonts w:ascii="仿宋_GB2312" w:hAnsi="仿宋_GB2312"/>
          <w:sz w:val="32"/>
          <w:szCs w:val="32"/>
        </w:rPr>
        <w:t>2022年本部门项目支出预算993.4万元，主要是部门为完成特定行政工作任务或事业发展目标而发生的支出，包括有关业务工作经费、运行维护经费、其他事业类发展资金、其他项目支出。其中：出租车管理项目支出20万元，主要用于客运市场管理等方面；立项争资项目支出15万元，主要用于交通重点项目建设前期等方面；交通系统维稳项目支出160万元，主要用于交通系统维护稳定等方面；服装采购项目支出38.4万元，主要用于执法队伍规范化管理等方面；安全生产项目支出100万元，主要用于安全生产等方面；治超治限项目支出180万元，主要用于保障无超限超载运输等方面；路政支出180万元，主要用于维护公路路产路权等方面；船舶维修运营专项支出190万元，主要用于执法船舶维修等方面；改制企业留守人员社保缴费30万元，主要用于改制企业留守人员的社会保险缴费等方面；协警工作经费80万元，主要用于协警的工资福利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2.专项资金（主要指财政资金）实际使用情况分析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2022年本部门项目支出决算41859.34万元，主要是部门为完成特定行政工作任务或事业发展目标而发生的支出，包括有关业务工作经费、运行维护经费、其他事业类发展资金、其他项目支出。其中：出租车管理项目支出20万元，立项争资项目支出15万元，交通系统维稳项目支出160万元，交通安全项目支出100万元，治超治限项目支出180万元，船舶维修运营专项190万元，改制企业留守人员社保缴费30万元，协警工作经费80万元，服装采购38.4万元，路政支出180万元，企业维稳200万元，装备购置车船维修200万元，春运工作15万元，交通项目建设37281万元，城乡客运一体化700万元，应急抢通70万元，老年人乘车补贴100万元，公共交通运营补贴1350.52万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3.专项资金管理情况分析，主要包括管理制度，办法的制定及执行情况。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严格财务管理制度，建立健全内部控制制度，财务预算制度、财务开支审批制度。首先，对每一笔支出都严格审核，核对金额及原始票据的合法性，在保证原始票据真实、准确、合理、合法后，才予以付款。其次，为保证项目资金的安全运行和工程质量，杜绝工程腐败，项目实行招投标，邀请纪检监察、财政、审计等部门全程监督，坚决杜绝“人情标”和“关系标”。再次，实行监理制，选定有资质、负责任的监理单位实施监理，控制项目建设进度和质量。第四，工程实施采取合同管理制，项目建设单位和施工单位、监理公司分别签订签订项目施工责任书和项目施工合同书，明确各方责任，强化合同约束力；第五，实行公告制，在项目实施前在项目所在地张贴公告，提高工程透明度。委托社会中介机构对工程决算进行审计，建立起专项资金内控外审的监督检查新格局，保证专项资金效益的最大化。</w:t>
      </w:r>
      <w:r>
        <w:rPr>
          <w:rFonts w:ascii="仿宋_GB2312"/>
          <w:sz w:val="32"/>
          <w:szCs w:val="32"/>
        </w:rPr>
        <w:br w:type="textWrapping"/>
      </w:r>
      <w:r>
        <w:rPr>
          <w:rFonts w:ascii="仿宋_GB2312"/>
          <w:sz w:val="32"/>
          <w:szCs w:val="32"/>
        </w:rPr>
        <w:t xml:space="preserve">    </w:t>
      </w:r>
      <w:r>
        <w:rPr>
          <w:rFonts w:ascii="仿宋_GB2312" w:hAnsi="仿宋_GB2312"/>
          <w:sz w:val="32"/>
          <w:szCs w:val="32"/>
        </w:rPr>
        <w:t>项目会计核算体系</w:t>
      </w:r>
      <w:r>
        <w:rPr>
          <w:rFonts w:ascii="仿宋_GB2312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 xml:space="preserve">要规范会计核算。实行报账制可以规范财务手续、工程验收手续、资金拨付手续，做到各部门之间互相监督、互相制约。通过国库集中支付，可缩小中间环节，减少中间费用，有利于节约资金。对物资采购要实行专项物资政府采购制。 </w:t>
      </w:r>
      <w:r>
        <w:rPr>
          <w:rFonts w:ascii="仿宋_GB2312"/>
          <w:sz w:val="32"/>
          <w:szCs w:val="32"/>
        </w:rPr>
        <w:br w:type="textWrapping"/>
      </w:r>
      <w:r>
        <w:rPr>
          <w:rFonts w:ascii="仿宋_GB2312"/>
          <w:sz w:val="32"/>
          <w:szCs w:val="32"/>
        </w:rPr>
        <w:t xml:space="preserve">    </w:t>
      </w:r>
      <w:r>
        <w:rPr>
          <w:rFonts w:ascii="仿宋_GB2312" w:hAnsi="仿宋_GB2312"/>
          <w:sz w:val="32"/>
          <w:szCs w:val="32"/>
        </w:rPr>
        <w:t>资金管理是项目顺利实施的重要手段，是项目管理的核心，能否安全使用资金是项目实施成败的关键。按照资金管理的有关规定，按项目资金设立专户，实行专人管理、单独核算、专款专用。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三、部门专项组织实施情况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（一）专项组织情况分析，主要包括项目招投标、调整、竣工验收等情况。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</w:pPr>
      <w:r>
        <w:rPr>
          <w:rFonts w:ascii="仿宋_GB2312" w:hAnsi="仿宋_GB2312" w:cs="Times New Roman"/>
          <w:sz w:val="32"/>
          <w:szCs w:val="32"/>
        </w:rPr>
        <w:t>我局加强专项项目组织管理，严格落实项目法人责任制、招投标制、合同管理制等有关制度，确保交通建设项目的质量。根据项目特点和要求明确各类项目管理责任单位。各责任单位对各类专项项目开展实施、组织和验收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专项资金管理情况分析，主要包括项目管理制度建设，日常检查监督管理等情况。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</w:pPr>
      <w:r>
        <w:rPr>
          <w:rFonts w:ascii="仿宋_GB2312" w:hAnsi="仿宋_GB2312" w:cs="Times New Roman"/>
          <w:sz w:val="32"/>
          <w:szCs w:val="32"/>
        </w:rPr>
        <w:t>严格执行项目预、决算审核制度，严禁擅自调整交通专项工程的计划、内容和规模。严格按照既定的项目实施方案，即使整编完工项目验收资料，认真开展项目竣工验收和财务决算工作，尽快办理竣工决算手续。严格按程序结算工程款项，确保各类项目的顺利实施，充分发挥资金的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（一）资金及财务管理方面的问题。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1、管理方面的问题。项目设立依据充分；有资金管理办法，资金管理办法规范。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2、分配方面的问题。资金分配合理，突出重点，公平公正；无散小差现象；资金分配和使用方向与资金管理办法相符。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3、资金拨付方面的问题。拨付及时，程序合规。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4、资金使用方面的问题。资金使用合规，无挤占、截留、挪用、闲置等现象。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5、财务核算方面的问题。财务核算规范，资料齐全。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（二）项目管理方面的问题。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1、项目管理制度已建立，严格按制度执行。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2、子项目申报、评审、审批、实施、验收等要求规范。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五、改进措施及有关建议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（一）由于我局承担全市交通基础设施的申报立项工作，前期支出较大。希望加大对我局项目工作前期经费。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（二）我局企业较多，涉及的参军人员、特困人员较多，维稳任务较大。我局为维护企业和员工队伍稳定做出了巨大的牺牲。希望财政考虑增加我局的维稳经费。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（三）我局安全生产工作任务繁重，承担着公路治超，出租车公司化等中心工作，缺少相应的工作经费，望市财政作预算时予以考虑。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20" w:firstLineChars="20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360" w:firstLineChars="200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left="1680"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20" w:firstLineChars="20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360" w:firstLineChars="200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left="1680"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20" w:firstLineChars="20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360" w:firstLineChars="200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left="1680" w:firstLine="420" w:firstLineChars="20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5440" w:firstLineChars="1700"/>
        <w:textAlignment w:val="auto"/>
        <w:rPr>
          <w:rFonts w:hint="eastAsia" w:ascii="仿宋_GB2312" w:hAnsi="仿宋_GB2312" w:cs="Times New Roman"/>
          <w:kern w:val="2"/>
          <w:sz w:val="32"/>
          <w:szCs w:val="32"/>
        </w:rPr>
      </w:pPr>
      <w:r>
        <w:rPr>
          <w:rFonts w:hint="eastAsia" w:ascii="仿宋_GB2312" w:hAnsi="仿宋_GB2312" w:cs="Times New Roman"/>
          <w:kern w:val="2"/>
          <w:sz w:val="32"/>
          <w:szCs w:val="32"/>
        </w:rPr>
        <w:t>沅江市交通运输局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left="1680" w:firstLine="3840" w:firstLineChars="1200"/>
        <w:textAlignment w:val="auto"/>
        <w:rPr>
          <w:rFonts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2023年3月27日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5773A"/>
    <w:multiLevelType w:val="multilevel"/>
    <w:tmpl w:val="0975773A"/>
    <w:lvl w:ilvl="0" w:tentative="0">
      <w:start w:val="2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8D26F67"/>
    <w:multiLevelType w:val="multilevel"/>
    <w:tmpl w:val="78D26F67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FhYzEyMzA5YjcxNzYyMDJmYzUzOTUyMmRkZTkifQ=="/>
  </w:docVars>
  <w:rsids>
    <w:rsidRoot w:val="00CB70E8"/>
    <w:rsid w:val="00CB70E8"/>
    <w:rsid w:val="00F853E7"/>
    <w:rsid w:val="01CF40F4"/>
    <w:rsid w:val="11196E3F"/>
    <w:rsid w:val="36F400BE"/>
    <w:rsid w:val="3918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8"/>
    <w:semiHidden/>
    <w:unhideWhenUsed/>
    <w:uiPriority w:val="99"/>
    <w:pPr>
      <w:snapToGrid w:val="0"/>
      <w:jc w:val="left"/>
    </w:pPr>
    <w:rPr>
      <w:rFonts w:ascii="Calibri" w:hAnsi="Calibri" w:cs="宋体"/>
      <w:kern w:val="0"/>
      <w:sz w:val="18"/>
      <w:szCs w:val="18"/>
    </w:rPr>
  </w:style>
  <w:style w:type="paragraph" w:styleId="3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Char"/>
    <w:basedOn w:val="7"/>
    <w:link w:val="2"/>
    <w:semiHidden/>
    <w:uiPriority w:val="99"/>
    <w:rPr>
      <w:rFonts w:ascii="Calibri" w:hAnsi="Calibri" w:eastAsia="宋体" w:cs="宋体"/>
      <w:kern w:val="0"/>
      <w:sz w:val="18"/>
      <w:szCs w:val="18"/>
    </w:r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黑体" w:hAnsi="Calibri" w:eastAsia="黑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4040</Words>
  <Characters>4315</Characters>
  <Lines>31</Lines>
  <Paragraphs>8</Paragraphs>
  <TotalTime>18</TotalTime>
  <ScaleCrop>false</ScaleCrop>
  <LinksUpToDate>false</LinksUpToDate>
  <CharactersWithSpaces>4326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2023-03-27T08:54:00Z</dcterms:created>
  <dc:creator>Administrator</dc:creator>
  <cp:lastModifiedBy>孙泽宇</cp:lastModifiedBy>
  <dcterms:modified xsi:type="dcterms:W3CDTF">2023-11-09T03:04:01Z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DC2351F53CA34EE2AA8D2EF4EB843B75_13</vt:lpwstr>
  </property>
</Properties>
</file>