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方正小标宋简体" w:hAnsi="方正小标宋简体" w:eastAsia="方正小标宋简体" w:cs="宋体"/>
          <w:b/>
          <w:color w:val="333333"/>
          <w:kern w:val="0"/>
          <w:sz w:val="44"/>
          <w:szCs w:val="44"/>
        </w:rPr>
      </w:pPr>
      <w:bookmarkStart w:id="5" w:name="_GoBack"/>
      <w:bookmarkEnd w:id="5"/>
      <w:r>
        <w:rPr>
          <w:rFonts w:hint="eastAsia" w:ascii="方正小标宋简体" w:hAnsi="方正小标宋简体" w:eastAsia="方正小标宋简体" w:cs="宋体"/>
          <w:b/>
          <w:color w:val="333333"/>
          <w:kern w:val="0"/>
          <w:sz w:val="44"/>
          <w:szCs w:val="44"/>
        </w:rPr>
        <w:t>沅江市发展和改革局</w:t>
      </w:r>
    </w:p>
    <w:p>
      <w:pPr>
        <w:widowControl/>
        <w:shd w:val="clear" w:color="auto" w:fill="FFFFFF"/>
        <w:jc w:val="center"/>
        <w:rPr>
          <w:rFonts w:ascii="方正小标宋简体" w:hAnsi="方正小标宋简体" w:eastAsia="方正小标宋简体" w:cs="宋体"/>
          <w:b/>
          <w:color w:val="333333"/>
          <w:kern w:val="0"/>
          <w:sz w:val="44"/>
          <w:szCs w:val="44"/>
        </w:rPr>
      </w:pPr>
      <w:r>
        <w:rPr>
          <w:rFonts w:hint="eastAsia" w:ascii="方正小标宋简体" w:hAnsi="方正小标宋简体" w:eastAsia="方正小标宋简体" w:cs="宋体"/>
          <w:b/>
          <w:color w:val="333333"/>
          <w:kern w:val="0"/>
          <w:sz w:val="44"/>
          <w:szCs w:val="44"/>
        </w:rPr>
        <w:t>2022年度整体</w:t>
      </w:r>
      <w:r>
        <w:rPr>
          <w:rFonts w:ascii="方正小标宋简体" w:hAnsi="方正小标宋简体" w:eastAsia="方正小标宋简体"/>
          <w:b/>
          <w:color w:val="333333"/>
          <w:kern w:val="0"/>
          <w:sz w:val="44"/>
          <w:szCs w:val="44"/>
        </w:rPr>
        <w:t>支出绩效</w:t>
      </w:r>
      <w:r>
        <w:rPr>
          <w:rFonts w:hint="eastAsia" w:ascii="方正小标宋简体" w:hAnsi="方正小标宋简体" w:eastAsia="方正小标宋简体" w:cs="宋体"/>
          <w:b/>
          <w:color w:val="333333"/>
          <w:kern w:val="0"/>
          <w:sz w:val="44"/>
          <w:szCs w:val="44"/>
        </w:rPr>
        <w:t>评价</w:t>
      </w:r>
      <w:r>
        <w:rPr>
          <w:rFonts w:ascii="方正小标宋简体" w:hAnsi="方正小标宋简体" w:eastAsia="方正小标宋简体"/>
          <w:b/>
          <w:color w:val="333333"/>
          <w:kern w:val="0"/>
          <w:sz w:val="44"/>
          <w:szCs w:val="44"/>
        </w:rPr>
        <w:t>报告</w:t>
      </w:r>
    </w:p>
    <w:p>
      <w:pPr>
        <w:widowControl/>
        <w:shd w:val="clear" w:color="auto" w:fill="FFFFFF"/>
        <w:ind w:firstLine="640"/>
        <w:jc w:val="left"/>
        <w:rPr>
          <w:rFonts w:ascii="宋体" w:hAnsi="宋体"/>
          <w:color w:val="333333"/>
          <w:kern w:val="0"/>
          <w:sz w:val="32"/>
          <w:szCs w:val="32"/>
        </w:rPr>
      </w:pPr>
    </w:p>
    <w:p>
      <w:pPr>
        <w:widowControl/>
        <w:shd w:val="clear" w:color="auto" w:fill="FFFFFF"/>
        <w:ind w:firstLine="640"/>
        <w:jc w:val="left"/>
        <w:rPr>
          <w:rFonts w:ascii="黑体" w:hAnsi="黑体" w:eastAsia="黑体" w:cs="宋体"/>
          <w:color w:val="333333"/>
          <w:kern w:val="0"/>
          <w:szCs w:val="21"/>
        </w:rPr>
      </w:pPr>
      <w:r>
        <w:rPr>
          <w:rFonts w:ascii="黑体" w:hAnsi="黑体" w:eastAsia="黑体"/>
          <w:color w:val="333333"/>
          <w:kern w:val="0"/>
          <w:sz w:val="32"/>
          <w:szCs w:val="32"/>
        </w:rPr>
        <w:t>一、</w:t>
      </w:r>
      <w:r>
        <w:rPr>
          <w:rFonts w:hint="eastAsia" w:ascii="黑体" w:hAnsi="黑体" w:eastAsia="黑体" w:cs="宋体"/>
          <w:color w:val="333333"/>
          <w:kern w:val="0"/>
          <w:sz w:val="32"/>
          <w:szCs w:val="32"/>
        </w:rPr>
        <w:t>部门基本</w:t>
      </w:r>
      <w:r>
        <w:rPr>
          <w:rFonts w:ascii="黑体" w:hAnsi="黑体" w:eastAsia="黑体" w:cs="宋体"/>
          <w:color w:val="333333"/>
          <w:kern w:val="0"/>
          <w:sz w:val="32"/>
          <w:szCs w:val="32"/>
        </w:rPr>
        <w:t>概况</w:t>
      </w:r>
    </w:p>
    <w:p>
      <w:pPr>
        <w:ind w:firstLine="640" w:firstLineChars="200"/>
        <w:rPr>
          <w:rFonts w:ascii="楷体" w:hAnsi="楷体" w:eastAsia="楷体" w:cs="方正仿宋简体"/>
          <w:sz w:val="32"/>
          <w:szCs w:val="32"/>
        </w:rPr>
      </w:pPr>
      <w:r>
        <w:rPr>
          <w:rFonts w:hint="eastAsia" w:ascii="楷体" w:hAnsi="楷体" w:eastAsia="楷体" w:cs="方正仿宋简体"/>
          <w:sz w:val="32"/>
          <w:szCs w:val="32"/>
        </w:rPr>
        <w:t>（一）机构设置情况</w:t>
      </w:r>
    </w:p>
    <w:p>
      <w:pPr>
        <w:widowControl/>
        <w:ind w:firstLine="630"/>
        <w:jc w:val="left"/>
        <w:rPr>
          <w:rFonts w:ascii="仿宋" w:hAnsi="仿宋" w:eastAsia="仿宋" w:cs="仿宋_GB2312"/>
          <w:sz w:val="32"/>
          <w:szCs w:val="32"/>
        </w:rPr>
      </w:pPr>
      <w:r>
        <w:rPr>
          <w:rFonts w:hint="eastAsia" w:ascii="仿宋" w:hAnsi="仿宋" w:eastAsia="仿宋" w:cs="仿宋_GB2312"/>
          <w:sz w:val="32"/>
          <w:szCs w:val="32"/>
        </w:rPr>
        <w:t>沅江市发展和改革局为市</w:t>
      </w:r>
      <w:r>
        <w:rPr>
          <w:rFonts w:ascii="仿宋" w:hAnsi="仿宋" w:eastAsia="仿宋" w:cs="仿宋_GB2312"/>
          <w:sz w:val="32"/>
          <w:szCs w:val="32"/>
        </w:rPr>
        <w:t>人民</w:t>
      </w:r>
      <w:r>
        <w:rPr>
          <w:rFonts w:hint="eastAsia" w:ascii="仿宋" w:hAnsi="仿宋" w:eastAsia="仿宋" w:cs="仿宋_GB2312"/>
          <w:sz w:val="32"/>
          <w:szCs w:val="32"/>
        </w:rPr>
        <w:t>政府工作部门，是综合研究全市经济和社会发展政策，进行宏观调控和主管全市价格工作的综合经济部门；属全额拨款正科级行政单位，加挂沅江市粮食和物资储备局牌子；根据职责职能，共设16个内设股室,分别为：办公室（法制股）、财务股、人事股、综合规划股（经济体制改革股）、工业交通和投资股、社会发展股（服务业和经济贸易股）、农业农村经济股、两型能源和地区经济发展股、公共资源交易管理股、价格收费管理股（市价格监测调控股）、评估督导股（财政金融和信用建设股）、行政审批改革股、粮食产业发展和调控股（国民经济与装备动员办公室）、粮食与物资储备股（军粮应急管理股）、粮食和物资监督检查股、重点项目建设办公室；另设4个二级机构，分别为：市项目前期服务中心、市价格认证中心（市价格成本调查队）、市粮油检验站、市粮食与物资储备中心。</w:t>
      </w:r>
    </w:p>
    <w:p>
      <w:pPr>
        <w:ind w:firstLine="640" w:firstLineChars="200"/>
        <w:rPr>
          <w:rFonts w:ascii="楷体" w:hAnsi="楷体" w:eastAsia="楷体" w:cs="方正仿宋简体"/>
          <w:sz w:val="32"/>
          <w:szCs w:val="32"/>
        </w:rPr>
      </w:pPr>
      <w:r>
        <w:rPr>
          <w:rFonts w:hint="eastAsia" w:ascii="楷体" w:hAnsi="楷体" w:eastAsia="楷体" w:cs="方正仿宋简体"/>
          <w:sz w:val="32"/>
          <w:szCs w:val="32"/>
        </w:rPr>
        <w:t>（二）人员情况</w:t>
      </w:r>
    </w:p>
    <w:p>
      <w:pPr>
        <w:pStyle w:val="14"/>
        <w:ind w:left="359" w:leftChars="171" w:firstLine="640"/>
        <w:rPr>
          <w:rFonts w:ascii="楷体" w:hAnsi="楷体" w:eastAsia="楷体" w:cs="楷体"/>
          <w:kern w:val="0"/>
          <w:sz w:val="32"/>
          <w:szCs w:val="32"/>
        </w:rPr>
      </w:pPr>
      <w:r>
        <w:rPr>
          <w:rFonts w:hint="eastAsia" w:ascii="仿宋" w:hAnsi="仿宋" w:eastAsia="仿宋" w:cs="仿宋_GB2312"/>
          <w:sz w:val="32"/>
          <w:szCs w:val="32"/>
        </w:rPr>
        <w:t>沅江市发展和改革局是参照公务员法管理的全额拨款行政单位，核定编制数为55人。</w:t>
      </w:r>
      <w:r>
        <w:rPr>
          <w:rFonts w:hint="eastAsia" w:ascii="仿宋_GB2312" w:hAnsi="仿宋" w:eastAsia="仿宋_GB2312" w:cs="仿宋"/>
          <w:kern w:val="0"/>
          <w:sz w:val="32"/>
          <w:szCs w:val="32"/>
        </w:rPr>
        <w:t>截止2022年12月31日，我局纳入部门预算编制167人。其中在职人员71人，离退休91人,遗属5人；局党组班子成员5人，其中局长1人，副局长4人。</w:t>
      </w:r>
    </w:p>
    <w:p>
      <w:pPr>
        <w:ind w:firstLine="627" w:firstLineChars="196"/>
        <w:rPr>
          <w:rFonts w:ascii="楷体" w:hAnsi="楷体" w:eastAsia="楷体" w:cs="方正仿宋简体"/>
          <w:sz w:val="32"/>
          <w:szCs w:val="32"/>
        </w:rPr>
      </w:pPr>
      <w:r>
        <w:rPr>
          <w:rFonts w:hint="eastAsia" w:ascii="楷体" w:hAnsi="楷体" w:eastAsia="楷体" w:cs="方正仿宋简体"/>
          <w:sz w:val="32"/>
          <w:szCs w:val="32"/>
        </w:rPr>
        <w:t>（三）主要工作职责</w:t>
      </w:r>
    </w:p>
    <w:p>
      <w:pPr>
        <w:pStyle w:val="5"/>
        <w:shd w:val="clear" w:color="auto" w:fill="FFFFFF"/>
        <w:spacing w:before="0" w:beforeAutospacing="0" w:after="0" w:afterAutospacing="0"/>
        <w:ind w:firstLine="630"/>
        <w:jc w:val="both"/>
        <w:rPr>
          <w:rFonts w:ascii="仿宋_GB2312" w:hAnsi="仿宋" w:eastAsia="仿宋_GB2312"/>
          <w:sz w:val="32"/>
          <w:szCs w:val="32"/>
        </w:rPr>
      </w:pPr>
      <w:bookmarkStart w:id="0" w:name="OLE_LINK18"/>
      <w:r>
        <w:rPr>
          <w:rFonts w:hint="eastAsia" w:ascii="仿宋_GB2312" w:hAnsi="仿宋" w:eastAsia="仿宋_GB2312" w:cs="仿宋_GB2312"/>
          <w:kern w:val="2"/>
          <w:sz w:val="32"/>
          <w:szCs w:val="32"/>
        </w:rPr>
        <w:t>1.</w:t>
      </w:r>
      <w:r>
        <w:rPr>
          <w:rFonts w:hint="eastAsia" w:ascii="仿宋_GB2312" w:hAnsi="仿宋" w:eastAsia="仿宋_GB2312"/>
          <w:sz w:val="32"/>
          <w:szCs w:val="32"/>
        </w:rPr>
        <w:t>拟订并组织实施全市国民经济和社会发展战略、中长期规划和年度计划，统筹协调相关总体规划、区域规划与专项规划。提出全市国民经济发展、价格总水平调控和优化重大经济结构的目标、落实相关政策的措施，提出综合运用各种经济手段和政策的建议，受市人民政府委托向市人民代表大会提交国民经济和社会发展计划的报告。</w:t>
      </w:r>
    </w:p>
    <w:p>
      <w:pPr>
        <w:pStyle w:val="5"/>
        <w:shd w:val="clear" w:color="auto" w:fill="FFFFFF"/>
        <w:spacing w:before="0" w:beforeAutospacing="0" w:after="0" w:afterAutospacing="0"/>
        <w:ind w:firstLine="630"/>
        <w:jc w:val="both"/>
        <w:rPr>
          <w:rFonts w:ascii="仿宋_GB2312" w:hAnsi="仿宋" w:eastAsia="仿宋_GB2312" w:cs="仿宋_GB2312"/>
          <w:kern w:val="2"/>
          <w:sz w:val="32"/>
          <w:szCs w:val="32"/>
        </w:rPr>
      </w:pPr>
      <w:r>
        <w:rPr>
          <w:rFonts w:hint="eastAsia" w:ascii="仿宋_GB2312" w:hAnsi="仿宋" w:eastAsia="仿宋_GB2312" w:cs="仿宋_GB2312"/>
          <w:kern w:val="2"/>
          <w:sz w:val="32"/>
          <w:szCs w:val="32"/>
        </w:rPr>
        <w:t>2.研究全市宏观经济运行、总量平衡、经济安全和总体产业安全等重要问题并提出落实宏观调控政策的建议，协调解决经济运行中的重大问题，调节国民经济运行。</w:t>
      </w:r>
    </w:p>
    <w:p>
      <w:pPr>
        <w:pStyle w:val="5"/>
        <w:shd w:val="clear" w:color="auto" w:fill="FFFFFF"/>
        <w:spacing w:before="0" w:beforeAutospacing="0" w:after="0" w:afterAutospacing="0"/>
        <w:ind w:firstLine="630"/>
        <w:jc w:val="both"/>
        <w:rPr>
          <w:rFonts w:ascii="仿宋_GB2312" w:hAnsi="仿宋" w:eastAsia="仿宋_GB2312"/>
          <w:sz w:val="32"/>
          <w:szCs w:val="32"/>
        </w:rPr>
      </w:pPr>
      <w:r>
        <w:rPr>
          <w:rFonts w:hint="eastAsia" w:ascii="仿宋_GB2312" w:hAnsi="仿宋" w:eastAsia="仿宋_GB2312" w:cs="仿宋_GB2312"/>
          <w:kern w:val="2"/>
          <w:sz w:val="32"/>
          <w:szCs w:val="32"/>
        </w:rPr>
        <w:t>3.</w:t>
      </w:r>
      <w:r>
        <w:rPr>
          <w:rFonts w:hint="eastAsia" w:ascii="仿宋_GB2312" w:hAnsi="仿宋" w:eastAsia="仿宋_GB2312"/>
          <w:sz w:val="32"/>
          <w:szCs w:val="32"/>
        </w:rPr>
        <w:t>汇总全市社会资金总体运行情况，参与贯彻落实财政、金融、土地政策并综合分析政策执行效果。组织实施产业政策，监督检查产业政策的执行；会同有关部门完善宏观调控协调机制，统筹推进产业、创业等投资基金的发展和协助完善相关制度。</w:t>
      </w:r>
    </w:p>
    <w:p>
      <w:pPr>
        <w:widowControl/>
        <w:ind w:firstLine="627" w:firstLineChars="196"/>
        <w:jc w:val="left"/>
        <w:rPr>
          <w:rFonts w:ascii="仿宋_GB2312" w:hAnsi="仿宋" w:eastAsia="仿宋_GB2312"/>
          <w:sz w:val="32"/>
          <w:szCs w:val="32"/>
        </w:rPr>
      </w:pPr>
      <w:r>
        <w:rPr>
          <w:rFonts w:hint="eastAsia" w:ascii="仿宋_GB2312" w:hAnsi="仿宋" w:eastAsia="仿宋_GB2312" w:cs="仿宋_GB2312"/>
          <w:sz w:val="32"/>
          <w:szCs w:val="32"/>
        </w:rPr>
        <w:t>4.</w:t>
      </w:r>
      <w:r>
        <w:rPr>
          <w:rFonts w:hint="eastAsia" w:ascii="仿宋_GB2312" w:hAnsi="仿宋" w:eastAsia="仿宋_GB2312"/>
          <w:sz w:val="32"/>
          <w:szCs w:val="32"/>
        </w:rPr>
        <w:t>指导推进和综合协调全市经济体制改革，研究全市经济体制改革和对外开放的重大问题；组织拟订综合性经济体制改革方案，协调有关专项经济体制改革方案实施，会同有关部门搞好专项改革之间的衔接；指导经济体制改革试点和改革试验区工作，协调推进“两型”社会建设综合配套改革工作。</w:t>
      </w:r>
    </w:p>
    <w:p>
      <w:pPr>
        <w:widowControl/>
        <w:ind w:firstLine="627" w:firstLineChars="196"/>
        <w:jc w:val="left"/>
        <w:rPr>
          <w:rFonts w:ascii="仿宋_GB2312" w:hAnsi="仿宋" w:eastAsia="仿宋_GB2312"/>
          <w:sz w:val="32"/>
          <w:szCs w:val="32"/>
        </w:rPr>
      </w:pPr>
      <w:r>
        <w:rPr>
          <w:rFonts w:hint="eastAsia" w:ascii="仿宋_GB2312" w:hAnsi="仿宋" w:eastAsia="仿宋_GB2312" w:cs="仿宋_GB2312"/>
          <w:sz w:val="32"/>
          <w:szCs w:val="32"/>
        </w:rPr>
        <w:t>5.</w:t>
      </w:r>
      <w:r>
        <w:rPr>
          <w:rFonts w:hint="eastAsia" w:ascii="仿宋_GB2312" w:hAnsi="仿宋" w:eastAsia="仿宋_GB2312"/>
          <w:sz w:val="32"/>
          <w:szCs w:val="32"/>
        </w:rPr>
        <w:t>拟订全市社会固定资产投资总规模和投资结构的调控目标、执行政策的措施。规划全市重大建设项目和生产力布局，按规定权限审批、核准、审核、备案、协助申报重大建设项目、外资项目、境外投资项目。研究提出全市利用外资和境外投资的战略、规划、总量平衡和结构优化的目标和执行政策的措施；指导和监督国外贷款建设资金的使用，引导民间投资方向；牵头组织编制特重大自然灾害的灾后恢复重建规划，协调有关重大问题；研究提出市重点建设项目计划；负责政府投资项目代建制实施的指导、协调和监督管理。指导工程咨询业发展。</w:t>
      </w:r>
    </w:p>
    <w:p>
      <w:pPr>
        <w:widowControl/>
        <w:ind w:firstLine="627" w:firstLineChars="196"/>
        <w:jc w:val="left"/>
        <w:rPr>
          <w:rFonts w:ascii="仿宋_GB2312" w:hAnsi="仿宋" w:eastAsia="仿宋_GB2312"/>
          <w:sz w:val="32"/>
          <w:szCs w:val="32"/>
        </w:rPr>
      </w:pPr>
      <w:r>
        <w:rPr>
          <w:rFonts w:hint="eastAsia" w:ascii="仿宋_GB2312" w:hAnsi="仿宋" w:eastAsia="仿宋_GB2312" w:cs="仿宋_GB2312"/>
          <w:sz w:val="32"/>
          <w:szCs w:val="32"/>
        </w:rPr>
        <w:t>6.</w:t>
      </w:r>
      <w:r>
        <w:rPr>
          <w:rFonts w:hint="eastAsia" w:ascii="仿宋_GB2312" w:hAnsi="仿宋" w:eastAsia="仿宋_GB2312"/>
          <w:sz w:val="32"/>
          <w:szCs w:val="32"/>
        </w:rPr>
        <w:t>组织执行综合性产业政策，负责协调第一、二、三产业发展的重大问题并衔接平衡相关发展规划和重大政策，负责综合交通运输体系规划与经济和社会发展规划的衔接平衡；协调农业和农村经济社会发展的重大问题，统筹推进现代农业改革；负责制定发展战略性新兴产业规划，研究执行新型工业化和产业集群发展的政策措施；会同有关部门研究执行高新技术产业、服务业发展规划和重大政策，实施高新技术产业发展的宏观指导，协调解决重大技术装备推广应用等方面的重大问题。</w:t>
      </w:r>
    </w:p>
    <w:p>
      <w:pPr>
        <w:widowControl/>
        <w:ind w:firstLine="627" w:firstLineChars="196"/>
        <w:jc w:val="left"/>
        <w:rPr>
          <w:rFonts w:ascii="仿宋_GB2312" w:hAnsi="仿宋" w:eastAsia="仿宋_GB2312"/>
          <w:sz w:val="32"/>
          <w:szCs w:val="32"/>
        </w:rPr>
      </w:pPr>
      <w:r>
        <w:rPr>
          <w:rFonts w:hint="eastAsia" w:ascii="仿宋_GB2312" w:hAnsi="仿宋" w:eastAsia="仿宋_GB2312" w:cs="仿宋_GB2312"/>
          <w:sz w:val="32"/>
          <w:szCs w:val="32"/>
        </w:rPr>
        <w:t>7.</w:t>
      </w:r>
      <w:r>
        <w:rPr>
          <w:rFonts w:hint="eastAsia" w:ascii="仿宋_GB2312" w:hAnsi="仿宋" w:eastAsia="仿宋_GB2312"/>
          <w:sz w:val="32"/>
          <w:szCs w:val="32"/>
        </w:rPr>
        <w:t>贯彻落实国家中部崛起、长江经济带开发建设的政策措施，研究分析区域经济发展情况，组织编制区域规划；负责统筹促进洞庭湖区生态经济区加快发展的战略、规划和重大政策落实，承担市洞庭湖生态经济区建设领导小组有关具体工作；拟订并组织实施全市以工代赈规划和计划；参与研究拟订全市城镇化发展战略和执行重大政策的措施。参与制定开发园区发展规划和落实相关政策的措施。</w:t>
      </w:r>
    </w:p>
    <w:p>
      <w:pPr>
        <w:widowControl/>
        <w:ind w:firstLine="627" w:firstLineChars="196"/>
        <w:jc w:val="left"/>
        <w:rPr>
          <w:rFonts w:ascii="仿宋_GB2312" w:hAnsi="仿宋" w:eastAsia="仿宋_GB2312"/>
          <w:sz w:val="32"/>
          <w:szCs w:val="32"/>
        </w:rPr>
      </w:pPr>
      <w:r>
        <w:rPr>
          <w:rFonts w:hint="eastAsia" w:ascii="仿宋_GB2312" w:hAnsi="仿宋" w:eastAsia="仿宋_GB2312" w:cs="仿宋_GB2312"/>
          <w:sz w:val="32"/>
          <w:szCs w:val="32"/>
        </w:rPr>
        <w:t>8.</w:t>
      </w:r>
      <w:r>
        <w:rPr>
          <w:rFonts w:hint="eastAsia" w:ascii="仿宋_GB2312" w:hAnsi="仿宋" w:eastAsia="仿宋_GB2312"/>
          <w:sz w:val="32"/>
          <w:szCs w:val="32"/>
        </w:rPr>
        <w:t>承担重要商品总量平衡和宏观调控，编制重要农产品、工业品和原材料进出口总量平衡计划并监督执行，根据经济运行情况对计划进行调整；拟订重要战略物资储备规划，负责组织收储、动用、轮换和管理，会同有关部门管理粮食、棉花和食糖等储备。牵头负责全市物流发展工作，拟订现代物流业发展战略、规划，协调物流业发展重大布局。</w:t>
      </w:r>
    </w:p>
    <w:p>
      <w:pPr>
        <w:widowControl/>
        <w:ind w:firstLine="627" w:firstLineChars="196"/>
        <w:jc w:val="left"/>
        <w:rPr>
          <w:rFonts w:ascii="仿宋_GB2312" w:hAnsi="仿宋" w:eastAsia="仿宋_GB2312"/>
          <w:sz w:val="32"/>
          <w:szCs w:val="32"/>
        </w:rPr>
      </w:pPr>
      <w:r>
        <w:rPr>
          <w:rFonts w:hint="eastAsia" w:ascii="仿宋_GB2312" w:hAnsi="仿宋" w:eastAsia="仿宋_GB2312" w:cs="仿宋_GB2312"/>
          <w:sz w:val="32"/>
          <w:szCs w:val="32"/>
        </w:rPr>
        <w:t>9.</w:t>
      </w:r>
      <w:r>
        <w:rPr>
          <w:rFonts w:hint="eastAsia" w:ascii="仿宋_GB2312" w:hAnsi="仿宋" w:eastAsia="仿宋_GB2312"/>
          <w:sz w:val="32"/>
          <w:szCs w:val="32"/>
        </w:rPr>
        <w:t>贯彻执行国家、省和益阳市粮食流通和物资储备管理的政策法规；制定并组织实施全市粮食流通发展规划，组织指导粮食市场体系和质量监测体系建设；承担全市粮食流通宏观调控的具体工作，负责粮食流通行政管理，指导协调政策性粮食购销和粮食产销合作；研究提出全市粮食和物资储备规划、储备品种目录建议，管理全市粮食、棉花、食糖等战略物资和救灾物资储备；贯彻落实国家粮食和物资储备仓储管理有关技术标准和规范，指导科技进步、技术改造；组织指导粮食流通、加工行业安全生产，承担所属物资承储单位安全生产的监管责任；拟订并组织实施全市储备基础和粮食流通设施建设规划；保障军队粮食供应；负责粮食流通和物资储备监督检查，组织实施粮食库存检查工作；承担粮食安全责任制考核日常工作；负责全市社会粮食流通和储备物资的统计工作；监管所属单位的国有资产。</w:t>
      </w:r>
    </w:p>
    <w:p>
      <w:pPr>
        <w:widowControl/>
        <w:ind w:firstLine="627" w:firstLineChars="196"/>
        <w:jc w:val="left"/>
        <w:rPr>
          <w:rFonts w:ascii="仿宋_GB2312" w:hAnsi="仿宋" w:eastAsia="仿宋_GB2312"/>
          <w:sz w:val="32"/>
          <w:szCs w:val="32"/>
        </w:rPr>
      </w:pPr>
      <w:r>
        <w:rPr>
          <w:rFonts w:hint="eastAsia" w:ascii="仿宋_GB2312" w:hAnsi="仿宋" w:eastAsia="仿宋_GB2312" w:cs="仿宋_GB2312"/>
          <w:sz w:val="32"/>
          <w:szCs w:val="32"/>
        </w:rPr>
        <w:t>10.</w:t>
      </w:r>
      <w:r>
        <w:rPr>
          <w:rFonts w:hint="eastAsia" w:ascii="仿宋_GB2312" w:hAnsi="仿宋" w:eastAsia="仿宋_GB2312"/>
          <w:sz w:val="32"/>
          <w:szCs w:val="32"/>
        </w:rPr>
        <w:t>负责国民经济和社会发展的政策衔接。组织拟订社会发展战略、总体规划和年度计划。拟订人口发展战略、规划及执行人口政策。参与执行科学技术、教育、文化、卫生、民政等发展政策。统筹推进基本公共服务体系建设和收入分配制度改革。研究提出落实促进就业、完善社会保障与经济协调发展的政策建议。协调社会事业发展和改革中的重大问题及政策的执行。参与推进深化医药卫生体制改革工作。</w:t>
      </w:r>
    </w:p>
    <w:p>
      <w:pPr>
        <w:widowControl/>
        <w:ind w:firstLine="627" w:firstLineChars="196"/>
        <w:jc w:val="left"/>
        <w:rPr>
          <w:rFonts w:ascii="仿宋_GB2312" w:hAnsi="仿宋" w:eastAsia="仿宋_GB2312"/>
          <w:sz w:val="32"/>
          <w:szCs w:val="32"/>
        </w:rPr>
      </w:pPr>
      <w:bookmarkStart w:id="1" w:name="OLE_LINK23"/>
      <w:bookmarkStart w:id="2" w:name="OLE_LINK24"/>
      <w:r>
        <w:rPr>
          <w:rFonts w:hint="eastAsia" w:ascii="仿宋_GB2312" w:hAnsi="仿宋" w:eastAsia="仿宋_GB2312" w:cs="仿宋_GB2312"/>
          <w:sz w:val="32"/>
          <w:szCs w:val="32"/>
        </w:rPr>
        <w:t>11.</w:t>
      </w:r>
      <w:bookmarkEnd w:id="1"/>
      <w:bookmarkEnd w:id="2"/>
      <w:r>
        <w:rPr>
          <w:rFonts w:hint="eastAsia" w:ascii="仿宋_GB2312" w:hAnsi="仿宋" w:eastAsia="仿宋_GB2312"/>
          <w:sz w:val="32"/>
          <w:szCs w:val="32"/>
        </w:rPr>
        <w:t>研究分析经济社会与资源、环境协调发展的重大问题，研究提出能源消费总量控制目标的建议，牵头拟订能源消费总量控制工作方案并组织实施；组织拟订发展循环经济、能源资源节约和综合利用规划、落实政策的措施并协调实施。参与编制生态环境保护规划，协调生态建设、能源资源节约和综合利用的重大问题，会同有关部门提出建立健全生态补偿机制政策的建议。综合协调节能环保产业和清洁生产促进有关工作。完善固定资产投资项目节能评估和审查制度。</w:t>
      </w:r>
    </w:p>
    <w:p>
      <w:pPr>
        <w:widowControl/>
        <w:ind w:firstLine="627" w:firstLineChars="196"/>
        <w:jc w:val="left"/>
        <w:rPr>
          <w:rFonts w:ascii="仿宋_GB2312" w:hAnsi="仿宋" w:eastAsia="仿宋_GB2312"/>
          <w:sz w:val="32"/>
          <w:szCs w:val="32"/>
        </w:rPr>
      </w:pPr>
      <w:bookmarkStart w:id="3" w:name="OLE_LINK2"/>
      <w:r>
        <w:rPr>
          <w:rFonts w:hint="eastAsia" w:ascii="仿宋_GB2312" w:hAnsi="仿宋" w:eastAsia="仿宋_GB2312" w:cs="仿宋_GB2312"/>
          <w:sz w:val="32"/>
          <w:szCs w:val="32"/>
        </w:rPr>
        <w:t>12.</w:t>
      </w:r>
      <w:r>
        <w:rPr>
          <w:rFonts w:hint="eastAsia" w:ascii="仿宋_GB2312" w:hAnsi="仿宋" w:eastAsia="仿宋_GB2312"/>
          <w:sz w:val="32"/>
          <w:szCs w:val="32"/>
        </w:rPr>
        <w:t>编制和执行全市价格改革规划，组织实施价格政策。监测、分析市场价格形势，组织实施价格总水平调控。管理国家、省列名管理的商品和服务价格（药品和医疗价格除外），监管实行市场调节价的商品和服务价格，承担行政事业性收费管理、价格监测和法定物品及服务的价格认定工作；依法对重大自然灾害和特殊时期实施临时价格干预措施，负责价格公共服务工作；负责规定权限内的价格、收费及政府购买服务的成本调查和监审。</w:t>
      </w:r>
      <w:bookmarkEnd w:id="3"/>
    </w:p>
    <w:p>
      <w:pPr>
        <w:widowControl/>
        <w:ind w:firstLine="627" w:firstLineChars="196"/>
        <w:jc w:val="left"/>
        <w:rPr>
          <w:rFonts w:ascii="仿宋_GB2312" w:hAnsi="仿宋" w:eastAsia="仿宋_GB2312"/>
          <w:sz w:val="32"/>
          <w:szCs w:val="32"/>
        </w:rPr>
      </w:pPr>
      <w:r>
        <w:rPr>
          <w:rFonts w:hint="eastAsia" w:ascii="仿宋_GB2312" w:hAnsi="仿宋" w:eastAsia="仿宋_GB2312"/>
          <w:sz w:val="32"/>
          <w:szCs w:val="32"/>
        </w:rPr>
        <w:t>13.协调推进经济发展环境的优化，牵头落实有关鼓励市场主体投资，保护投资者权益，促进市场公平竞争、维护市场正常秩序的政务、法制、商务、信用等环境，优化重点项目建设环境；指导全市优化经济发展环境的相关工作，承担治理工程建设领域突出问题有关工作。</w:t>
      </w:r>
    </w:p>
    <w:p>
      <w:pPr>
        <w:widowControl/>
        <w:ind w:firstLine="627" w:firstLineChars="196"/>
        <w:jc w:val="left"/>
        <w:rPr>
          <w:rFonts w:ascii="仿宋_GB2312" w:hAnsi="仿宋" w:eastAsia="仿宋_GB2312"/>
          <w:sz w:val="32"/>
          <w:szCs w:val="32"/>
        </w:rPr>
      </w:pPr>
      <w:r>
        <w:rPr>
          <w:rFonts w:hint="eastAsia" w:ascii="仿宋_GB2312" w:hAnsi="仿宋" w:eastAsia="仿宋_GB2312"/>
          <w:sz w:val="32"/>
          <w:szCs w:val="32"/>
        </w:rPr>
        <w:t>14.研究提出全市能源发展战略和改革建议。拟订能源发展规划、执行产业政策的措施并组织实施；监测能源发展情况，衔接能源生产建设和供需平衡；负责能源预测预警，发布能源信息，参与能源重大建设项目规划布局，参与能源运行调节和应急保障；组织协调新能源开发利用的前期工作。统筹协调农村能源发展政策与规划。</w:t>
      </w:r>
    </w:p>
    <w:p>
      <w:pPr>
        <w:widowControl/>
        <w:ind w:firstLine="627" w:firstLineChars="196"/>
        <w:jc w:val="left"/>
        <w:rPr>
          <w:rFonts w:ascii="仿宋_GB2312" w:hAnsi="仿宋" w:eastAsia="仿宋_GB2312"/>
          <w:sz w:val="32"/>
          <w:szCs w:val="32"/>
        </w:rPr>
      </w:pPr>
      <w:r>
        <w:rPr>
          <w:rFonts w:hint="eastAsia" w:ascii="仿宋_GB2312" w:hAnsi="仿宋" w:eastAsia="仿宋_GB2312"/>
          <w:sz w:val="32"/>
          <w:szCs w:val="32"/>
        </w:rPr>
        <w:t>15.制定推进社会信用体系建设的规划、执行政策的措施，统筹推进统一的信用信息平台建设，促进信用信息资源的整合与运用，协调社会信用体系建设的重大问题。</w:t>
      </w:r>
    </w:p>
    <w:p>
      <w:pPr>
        <w:widowControl/>
        <w:ind w:firstLine="627" w:firstLineChars="196"/>
        <w:jc w:val="left"/>
        <w:rPr>
          <w:rFonts w:ascii="仿宋_GB2312" w:hAnsi="仿宋" w:eastAsia="仿宋_GB2312"/>
          <w:sz w:val="32"/>
          <w:szCs w:val="32"/>
        </w:rPr>
      </w:pPr>
      <w:r>
        <w:rPr>
          <w:rFonts w:hint="eastAsia" w:ascii="仿宋_GB2312" w:hAnsi="仿宋" w:eastAsia="仿宋_GB2312"/>
          <w:sz w:val="32"/>
          <w:szCs w:val="32"/>
        </w:rPr>
        <w:t>16.拟订推进经济建设与国防建设协调发展的战略和规划，协调有关重大问题；组织编制全市国民经济动员和装备动员规划、计划，并组织实施有关工作。</w:t>
      </w:r>
    </w:p>
    <w:p>
      <w:pPr>
        <w:widowControl/>
        <w:ind w:firstLine="627" w:firstLineChars="196"/>
        <w:jc w:val="left"/>
        <w:rPr>
          <w:rFonts w:ascii="仿宋_GB2312" w:hAnsi="仿宋" w:eastAsia="仿宋_GB2312"/>
          <w:sz w:val="32"/>
          <w:szCs w:val="32"/>
        </w:rPr>
      </w:pPr>
      <w:r>
        <w:rPr>
          <w:rFonts w:hint="eastAsia" w:ascii="仿宋_GB2312" w:hAnsi="仿宋" w:eastAsia="仿宋_GB2312"/>
          <w:sz w:val="32"/>
          <w:szCs w:val="32"/>
        </w:rPr>
        <w:t>17.依法负责公共资源交易综合监督管理，指导、协调、监督各法定监管机关依法履行公共资源交易监管执法职责。指导协调全市招投标工作；审批、核准招标项目的招标范围、招标方式、招标组织形式，依法查处招标投标活动中的违法行为。</w:t>
      </w:r>
    </w:p>
    <w:p>
      <w:pPr>
        <w:widowControl/>
        <w:ind w:firstLine="627" w:firstLineChars="196"/>
        <w:jc w:val="left"/>
        <w:rPr>
          <w:rFonts w:ascii="仿宋_GB2312" w:hAnsi="仿宋" w:eastAsia="仿宋_GB2312"/>
          <w:sz w:val="32"/>
          <w:szCs w:val="32"/>
        </w:rPr>
      </w:pPr>
      <w:r>
        <w:rPr>
          <w:rFonts w:hint="eastAsia" w:ascii="仿宋_GB2312" w:hAnsi="仿宋" w:eastAsia="仿宋_GB2312"/>
          <w:sz w:val="32"/>
          <w:szCs w:val="32"/>
        </w:rPr>
        <w:t>18.负责全市重点建设项目管理工作。</w:t>
      </w:r>
    </w:p>
    <w:p>
      <w:pPr>
        <w:autoSpaceDE w:val="0"/>
        <w:autoSpaceDN w:val="0"/>
        <w:adjustRightInd w:val="0"/>
        <w:ind w:firstLine="640"/>
        <w:rPr>
          <w:rFonts w:ascii="仿宋_GB2312" w:hAnsi="仿宋" w:eastAsia="仿宋_GB2312"/>
          <w:sz w:val="32"/>
          <w:szCs w:val="32"/>
        </w:rPr>
      </w:pPr>
      <w:r>
        <w:rPr>
          <w:rFonts w:hint="eastAsia" w:ascii="仿宋_GB2312" w:hAnsi="仿宋" w:eastAsia="仿宋_GB2312"/>
          <w:sz w:val="32"/>
          <w:szCs w:val="32"/>
        </w:rPr>
        <w:t>19.完成市委和市人民政府交办的其他任务。</w:t>
      </w:r>
    </w:p>
    <w:bookmarkEnd w:id="0"/>
    <w:p>
      <w:pPr>
        <w:widowControl/>
        <w:ind w:firstLine="627" w:firstLineChars="196"/>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二、部门整体支出管理与使用情况</w:t>
      </w:r>
    </w:p>
    <w:p>
      <w:pPr>
        <w:ind w:firstLine="640" w:firstLineChars="200"/>
        <w:rPr>
          <w:rFonts w:ascii="楷体" w:hAnsi="楷体" w:eastAsia="楷体" w:cs="方正仿宋简体"/>
          <w:sz w:val="32"/>
          <w:szCs w:val="32"/>
        </w:rPr>
      </w:pPr>
      <w:r>
        <w:rPr>
          <w:rFonts w:hint="eastAsia" w:ascii="楷体" w:hAnsi="楷体" w:eastAsia="楷体" w:cs="方正仿宋简体"/>
          <w:sz w:val="32"/>
          <w:szCs w:val="32"/>
        </w:rPr>
        <w:t>（一）基本支出的管理和使用情况</w:t>
      </w:r>
    </w:p>
    <w:p>
      <w:pPr>
        <w:ind w:firstLine="643" w:firstLineChars="200"/>
        <w:rPr>
          <w:rFonts w:ascii="仿宋_GB2312" w:hAnsi="仿宋" w:eastAsia="仿宋_GB2312" w:cs="方正仿宋简体"/>
          <w:b/>
          <w:sz w:val="32"/>
          <w:szCs w:val="32"/>
        </w:rPr>
      </w:pPr>
      <w:r>
        <w:rPr>
          <w:rFonts w:hint="eastAsia" w:ascii="仿宋_GB2312" w:hAnsi="仿宋" w:eastAsia="仿宋_GB2312" w:cs="仿宋_GB2312"/>
          <w:b/>
          <w:sz w:val="32"/>
          <w:szCs w:val="32"/>
        </w:rPr>
        <w:t>1.基本支出的主要用途范围及资金的管理情况</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2022年度一般公共预算财政拨款基本支出1242.36万元。其中：人员经费支出1072.23万元；公用经费支出170.13万元。</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人员经费支出分为工资福利支出和对个人和家庭补助支出。其中工资福利支出1003.24万元，主要包括：基本工资、津贴补贴、社会保障缴费等支出；对个人和家庭补助支出68.99万元，主要包括：退休费、抚恤金、奖励金、生活补助等支出。</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公用经费支出为商品和服务支出。商品和服务支出170.13万元，主要包括：办公费、电费、水费、邮电费、差旅费、维护费、培训费、公务接待费、劳务费等。</w:t>
      </w:r>
    </w:p>
    <w:p>
      <w:pPr>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2.年初总预算收支情况</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2022年年初预算总收入944.65万元。其中：经费拨款944.65万元。预算总支出944.65万元。预算收支平衡。</w:t>
      </w:r>
    </w:p>
    <w:p>
      <w:pPr>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3.本年财政拨款预算追加及年度可用财政拨款预算指标情况</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2022年追加拨款799.42万元。其中：工资调整和绩效奖金226.16万元，抚恤金15.43万元，公车补贴45.11万元，固有资产出租收入70万元，项目经费442.72万元。</w:t>
      </w:r>
    </w:p>
    <w:p>
      <w:pPr>
        <w:snapToGrid w:val="0"/>
        <w:spacing w:line="520" w:lineRule="exact"/>
        <w:ind w:firstLine="640" w:firstLineChars="200"/>
        <w:rPr>
          <w:rFonts w:ascii="仿宋_GB2312" w:hAnsi="仿宋" w:eastAsia="仿宋_GB2312" w:cs="仿宋"/>
          <w:spacing w:val="6"/>
          <w:sz w:val="32"/>
          <w:szCs w:val="32"/>
        </w:rPr>
      </w:pPr>
      <w:r>
        <w:rPr>
          <w:rFonts w:hint="eastAsia" w:ascii="仿宋_GB2312" w:hAnsi="仿宋" w:eastAsia="仿宋_GB2312" w:cs="仿宋_GB2312"/>
          <w:sz w:val="32"/>
          <w:szCs w:val="32"/>
        </w:rPr>
        <w:t>2022年其他收入59.59万元。其中：</w:t>
      </w:r>
      <w:r>
        <w:rPr>
          <w:rFonts w:hint="eastAsia" w:ascii="仿宋_GB2312" w:hAnsi="仿宋" w:eastAsia="仿宋_GB2312" w:cs="仿宋"/>
          <w:spacing w:val="6"/>
          <w:sz w:val="32"/>
          <w:szCs w:val="32"/>
        </w:rPr>
        <w:t>2021年度优化营商环境工作先进单位奖、年统计核算奖励资金、招商引资先进单位奖励款、重点民生实事先进单位奖14.5万元；粮油购销公司工资及其他费用35.3万元；成本调查补助经费5万元；电费3.5万元；2021城乡居民粮油供需平衡调查经费0.2万元；2022年美食周工作经费0.6万元，差旅费清退款0.48万元。</w:t>
      </w:r>
    </w:p>
    <w:p>
      <w:pPr>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4.年度预算收入决算情况</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2022年决算收入1803.66万元，其中：财政拨款收入1744.07万元，其他收入59.59万元。</w:t>
      </w:r>
    </w:p>
    <w:p>
      <w:pPr>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5.年度预算支出决算及结余情况</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2022年决算支出1810.97万元，其中：基本支出1242.36万元，项目支出568.61万元。</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年初结转和结余17.53万元，年末结转和结余资金10.22万元，其中财政拨款结转和结余10.22万元。本年年末结转和结余资金10.22万元全部为项目支出结转和结余。</w:t>
      </w:r>
    </w:p>
    <w:p>
      <w:pPr>
        <w:ind w:firstLine="643" w:firstLineChars="200"/>
        <w:rPr>
          <w:rFonts w:ascii="仿宋_GB2312" w:hAnsi="仿宋" w:eastAsia="仿宋_GB2312" w:cs="仿宋_GB2312"/>
          <w:b/>
          <w:sz w:val="32"/>
          <w:szCs w:val="32"/>
        </w:rPr>
      </w:pPr>
      <w:r>
        <w:rPr>
          <w:rFonts w:hint="eastAsia" w:ascii="仿宋_GB2312" w:hAnsi="仿宋" w:eastAsia="仿宋_GB2312" w:cs="仿宋_GB2312"/>
          <w:b/>
          <w:sz w:val="32"/>
          <w:szCs w:val="32"/>
        </w:rPr>
        <w:t>6.本年</w:t>
      </w:r>
      <w:bookmarkStart w:id="4" w:name="OLE_LINK1"/>
      <w:r>
        <w:rPr>
          <w:rFonts w:hint="eastAsia" w:ascii="仿宋_GB2312" w:hAnsi="仿宋" w:eastAsia="仿宋_GB2312" w:cs="仿宋_GB2312"/>
          <w:b/>
          <w:sz w:val="32"/>
          <w:szCs w:val="32"/>
        </w:rPr>
        <w:t>“三公经费”</w:t>
      </w:r>
      <w:bookmarkEnd w:id="4"/>
      <w:r>
        <w:rPr>
          <w:rFonts w:hint="eastAsia" w:ascii="仿宋_GB2312" w:hAnsi="仿宋" w:eastAsia="仿宋_GB2312" w:cs="仿宋_GB2312"/>
          <w:b/>
          <w:sz w:val="32"/>
          <w:szCs w:val="32"/>
        </w:rPr>
        <w:t>预算情况</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2022年三公经费预算数为15万元，决算数为14.04万元，其中，公务接待费14.04万元，</w:t>
      </w:r>
      <w:r>
        <w:rPr>
          <w:rFonts w:hint="eastAsia" w:ascii="仿宋_GB2312" w:hAnsi="仿宋" w:eastAsia="仿宋_GB2312"/>
          <w:sz w:val="32"/>
          <w:szCs w:val="32"/>
        </w:rPr>
        <w:t>比去年减少1.76万元，减少11.14%，减少原因是厉行节约，减少开支</w:t>
      </w:r>
      <w:r>
        <w:rPr>
          <w:rFonts w:hint="eastAsia" w:ascii="仿宋_GB2312" w:hAnsi="仿宋" w:eastAsia="仿宋_GB2312" w:cs="仿宋_GB2312"/>
          <w:sz w:val="32"/>
          <w:szCs w:val="32"/>
        </w:rPr>
        <w:t>。无公务运行用车运行维护费及因公出国（境）费。</w:t>
      </w:r>
    </w:p>
    <w:p>
      <w:pPr>
        <w:ind w:firstLine="640" w:firstLineChars="200"/>
        <w:rPr>
          <w:rFonts w:ascii="楷体" w:hAnsi="楷体" w:eastAsia="楷体" w:cs="方正仿宋简体"/>
          <w:sz w:val="32"/>
          <w:szCs w:val="32"/>
        </w:rPr>
      </w:pPr>
      <w:r>
        <w:rPr>
          <w:rFonts w:hint="eastAsia" w:ascii="楷体" w:hAnsi="楷体" w:eastAsia="楷体" w:cs="方正仿宋简体"/>
          <w:sz w:val="32"/>
          <w:szCs w:val="32"/>
        </w:rPr>
        <w:t>（二）专项收入和支出管理及使用情况</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我单位2022年项目收入578.84万元，其中项目专项经费拨款财政收入501.71万元，其他收入59.59万元，年初结转和结余17.53，实际项目支出568.61万元，年末结转和结余10.22万元。我单位的项目支出主要用于争取项目前期工作经费、全市立项争资工作经费、节能减排专项工作、重大项目续建资金、易地扶贫工作经费、优化环境专项工作经费、刑事案件涉案物价格鉴证工作经费、粮食安全监管执法等工作经费。</w:t>
      </w:r>
    </w:p>
    <w:p>
      <w:pPr>
        <w:ind w:firstLine="640" w:firstLineChars="200"/>
        <w:rPr>
          <w:rFonts w:ascii="仿宋_GB2312" w:hAnsi="仿宋" w:eastAsia="仿宋_GB2312"/>
          <w:sz w:val="32"/>
          <w:szCs w:val="32"/>
        </w:rPr>
      </w:pPr>
      <w:r>
        <w:rPr>
          <w:rFonts w:hint="eastAsia" w:ascii="仿宋_GB2312" w:hAnsi="仿宋" w:eastAsia="仿宋_GB2312"/>
          <w:sz w:val="32"/>
          <w:szCs w:val="32"/>
        </w:rPr>
        <w:t>为确保各项目的顺利实施，确保项目资金的规范使用，本部门制定并不断完善了项目资金申报制度、项目资金使用及管理制度、项目资金监督管理和验收审计制度、项目实施绩效考评制度及项目资金内部控制制度，明确岗位职责分工，根据单位业务实际情况，制定了各项切实可行的财务审批流程，对印鉴的保管使用、资金使用和经济业务审批流程进行了具体规定，为单位各建设项目的实施奠定了良好的会计基础。</w:t>
      </w:r>
    </w:p>
    <w:p>
      <w:pPr>
        <w:widowControl/>
        <w:shd w:val="clear" w:color="auto" w:fill="FFFFFF"/>
        <w:ind w:firstLine="640"/>
        <w:jc w:val="left"/>
        <w:rPr>
          <w:rFonts w:ascii="黑体" w:hAnsi="黑体" w:eastAsia="黑体" w:cs="宋体"/>
          <w:kern w:val="0"/>
          <w:sz w:val="32"/>
          <w:szCs w:val="32"/>
        </w:rPr>
      </w:pPr>
      <w:r>
        <w:rPr>
          <w:rFonts w:hint="eastAsia" w:ascii="黑体" w:hAnsi="黑体" w:eastAsia="黑体" w:cs="宋体"/>
          <w:kern w:val="0"/>
          <w:sz w:val="32"/>
          <w:szCs w:val="32"/>
        </w:rPr>
        <w:t>三、部门整体支出管理情况</w:t>
      </w:r>
    </w:p>
    <w:p>
      <w:pPr>
        <w:ind w:firstLine="640" w:firstLineChars="200"/>
        <w:rPr>
          <w:rFonts w:ascii="仿宋_GB2312" w:hAnsi="仿宋" w:eastAsia="仿宋_GB2312" w:cs="方正仿宋简体"/>
          <w:sz w:val="32"/>
          <w:szCs w:val="32"/>
        </w:rPr>
      </w:pPr>
      <w:r>
        <w:rPr>
          <w:rFonts w:hint="eastAsia" w:ascii="仿宋_GB2312" w:hAnsi="仿宋" w:eastAsia="仿宋_GB2312" w:cs="仿宋_GB2312"/>
          <w:sz w:val="32"/>
          <w:szCs w:val="32"/>
        </w:rPr>
        <w:t>我单位建立了机关财务管理制度，严格按照资金“收支两条线”管理办法规范单位的收支。经费的开支管理及费用报销均严格执行相关制度规定，坚持勤俭节约，确保资金的规范使用与安全。对项目资金的实施、资金投向及调度安排、固定资产购置及交付使用进行跟踪管理，确保项目资金专款专用。</w:t>
      </w:r>
    </w:p>
    <w:p>
      <w:pPr>
        <w:widowControl/>
        <w:shd w:val="clear" w:color="auto" w:fill="FFFFFF"/>
        <w:ind w:firstLine="640"/>
        <w:jc w:val="left"/>
        <w:rPr>
          <w:rFonts w:ascii="黑体" w:hAnsi="黑体" w:eastAsia="黑体" w:cs="宋体"/>
          <w:kern w:val="0"/>
          <w:sz w:val="32"/>
          <w:szCs w:val="32"/>
        </w:rPr>
      </w:pPr>
      <w:r>
        <w:rPr>
          <w:rFonts w:hint="eastAsia" w:ascii="黑体" w:hAnsi="黑体" w:eastAsia="黑体" w:cs="宋体"/>
          <w:kern w:val="0"/>
          <w:sz w:val="32"/>
          <w:szCs w:val="32"/>
        </w:rPr>
        <w:t>四、部门整体支出绩效情况</w:t>
      </w:r>
    </w:p>
    <w:p>
      <w:pPr>
        <w:autoSpaceDE w:val="0"/>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积极发挥参谋助手作用。起草并以市委、市政府名义印发了《沅江市2022年国民经济和社会发展主要预期目标和控制性指标》，及时进行了调度和分析，形成上半年和年度两个《国民经济和社会发展计划执行情况的报告》，并提出了2023年度我市国民经济和社会发展主要指标。起草并以两办名义印发了《沅江市高质量发展综合绩效评价实施办法（修订）》，对指标项按月进行了调度，压实部门责任，督促各项工作高质量开展。</w:t>
      </w:r>
    </w:p>
    <w:p>
      <w:pPr>
        <w:spacing w:line="560" w:lineRule="exact"/>
        <w:ind w:firstLine="672" w:firstLineChars="210"/>
        <w:rPr>
          <w:rFonts w:ascii="仿宋_GB2312" w:hAnsi="仿宋" w:eastAsia="仿宋_GB2312" w:cs="仿宋_GB2312"/>
          <w:sz w:val="32"/>
          <w:szCs w:val="32"/>
        </w:rPr>
      </w:pPr>
      <w:r>
        <w:rPr>
          <w:rFonts w:hint="eastAsia" w:ascii="仿宋_GB2312" w:hAnsi="仿宋" w:eastAsia="仿宋_GB2312" w:cs="仿宋_GB2312"/>
          <w:sz w:val="32"/>
          <w:szCs w:val="32"/>
        </w:rPr>
        <w:t>（二）推动固定资产投资增量提质。</w:t>
      </w:r>
      <w:r>
        <w:rPr>
          <w:rFonts w:ascii="仿宋_GB2312" w:hAnsi="仿宋" w:eastAsia="仿宋_GB2312" w:cs="仿宋_GB2312"/>
          <w:sz w:val="32"/>
          <w:szCs w:val="32"/>
        </w:rPr>
        <w:t>1-11</w:t>
      </w:r>
      <w:r>
        <w:rPr>
          <w:rFonts w:hint="eastAsia" w:ascii="仿宋_GB2312" w:hAnsi="仿宋" w:eastAsia="仿宋_GB2312" w:cs="仿宋_GB2312"/>
          <w:sz w:val="32"/>
          <w:szCs w:val="32"/>
        </w:rPr>
        <w:t>月我市固定资产投资增速达</w:t>
      </w:r>
      <w:r>
        <w:rPr>
          <w:rFonts w:ascii="仿宋_GB2312" w:hAnsi="仿宋" w:eastAsia="仿宋_GB2312" w:cs="仿宋_GB2312"/>
          <w:sz w:val="32"/>
          <w:szCs w:val="32"/>
        </w:rPr>
        <w:t>25.1%</w:t>
      </w:r>
      <w:r>
        <w:rPr>
          <w:rFonts w:hint="eastAsia" w:ascii="仿宋_GB2312" w:hAnsi="仿宋" w:eastAsia="仿宋_GB2312" w:cs="仿宋_GB2312"/>
          <w:sz w:val="32"/>
          <w:szCs w:val="32"/>
        </w:rPr>
        <w:t>，高于益阳市平均水平</w:t>
      </w:r>
      <w:r>
        <w:rPr>
          <w:rFonts w:ascii="仿宋_GB2312" w:hAnsi="仿宋" w:eastAsia="仿宋_GB2312" w:cs="仿宋_GB2312"/>
          <w:sz w:val="32"/>
          <w:szCs w:val="32"/>
        </w:rPr>
        <w:t>12.4</w:t>
      </w:r>
      <w:r>
        <w:rPr>
          <w:rFonts w:hint="eastAsia" w:ascii="仿宋_GB2312" w:hAnsi="仿宋" w:eastAsia="仿宋_GB2312" w:cs="仿宋_GB2312"/>
          <w:sz w:val="32"/>
          <w:szCs w:val="32"/>
        </w:rPr>
        <w:t>个百分点，排益阳市第一名。其中，民间投资同比增长</w:t>
      </w:r>
      <w:r>
        <w:rPr>
          <w:rFonts w:ascii="仿宋_GB2312" w:hAnsi="仿宋" w:eastAsia="仿宋_GB2312" w:cs="仿宋_GB2312"/>
          <w:sz w:val="32"/>
          <w:szCs w:val="32"/>
        </w:rPr>
        <w:t>123%</w:t>
      </w:r>
      <w:r>
        <w:rPr>
          <w:rFonts w:hint="eastAsia" w:ascii="仿宋_GB2312" w:hAnsi="仿宋" w:eastAsia="仿宋_GB2312" w:cs="仿宋_GB2312"/>
          <w:sz w:val="32"/>
          <w:szCs w:val="32"/>
        </w:rPr>
        <w:t>、产业投资同比增长</w:t>
      </w:r>
      <w:r>
        <w:rPr>
          <w:rFonts w:ascii="仿宋_GB2312" w:hAnsi="仿宋" w:eastAsia="仿宋_GB2312" w:cs="仿宋_GB2312"/>
          <w:sz w:val="32"/>
          <w:szCs w:val="32"/>
        </w:rPr>
        <w:t>49.7%</w:t>
      </w:r>
      <w:r>
        <w:rPr>
          <w:rFonts w:hint="eastAsia" w:ascii="仿宋_GB2312" w:hAnsi="仿宋" w:eastAsia="仿宋_GB2312" w:cs="仿宋_GB2312"/>
          <w:sz w:val="32"/>
          <w:szCs w:val="32"/>
        </w:rPr>
        <w:t>、制造业投资同比增长</w:t>
      </w:r>
      <w:r>
        <w:rPr>
          <w:rFonts w:ascii="仿宋_GB2312" w:hAnsi="仿宋" w:eastAsia="仿宋_GB2312" w:cs="仿宋_GB2312"/>
          <w:sz w:val="32"/>
          <w:szCs w:val="32"/>
        </w:rPr>
        <w:t>45.6%</w:t>
      </w:r>
      <w:r>
        <w:rPr>
          <w:rFonts w:hint="eastAsia" w:ascii="仿宋_GB2312" w:hAnsi="仿宋" w:eastAsia="仿宋_GB2312" w:cs="仿宋_GB2312"/>
          <w:sz w:val="32"/>
          <w:szCs w:val="32"/>
        </w:rPr>
        <w:t>、高技术产业投资同比增长</w:t>
      </w:r>
      <w:r>
        <w:rPr>
          <w:rFonts w:ascii="仿宋_GB2312" w:hAnsi="仿宋" w:eastAsia="仿宋_GB2312" w:cs="仿宋_GB2312"/>
          <w:sz w:val="32"/>
          <w:szCs w:val="32"/>
        </w:rPr>
        <w:t>101%</w:t>
      </w:r>
      <w:r>
        <w:rPr>
          <w:rFonts w:hint="eastAsia" w:ascii="仿宋_GB2312" w:hAnsi="仿宋" w:eastAsia="仿宋_GB2312" w:cs="仿宋_GB2312"/>
          <w:sz w:val="32"/>
          <w:szCs w:val="32"/>
        </w:rPr>
        <w:t>，预计在益阳市排名都靠前。</w:t>
      </w:r>
    </w:p>
    <w:p>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(三)加大立项争资工作力度。一是大力争取中央省预算内投资及专项债券。</w:t>
      </w:r>
      <w:r>
        <w:rPr>
          <w:rFonts w:ascii="仿宋_GB2312" w:hAnsi="仿宋" w:eastAsia="仿宋_GB2312" w:cs="仿宋_GB2312"/>
          <w:sz w:val="32"/>
          <w:szCs w:val="32"/>
        </w:rPr>
        <w:t>2022</w:t>
      </w:r>
      <w:r>
        <w:rPr>
          <w:rFonts w:hint="eastAsia" w:ascii="仿宋_GB2312" w:hAnsi="仿宋" w:eastAsia="仿宋_GB2312" w:cs="仿宋_GB2312"/>
          <w:sz w:val="32"/>
          <w:szCs w:val="32"/>
        </w:rPr>
        <w:t>年，共争取中央省预算内资金</w:t>
      </w:r>
      <w:r>
        <w:rPr>
          <w:rFonts w:ascii="仿宋_GB2312" w:hAnsi="仿宋" w:eastAsia="仿宋_GB2312" w:cs="仿宋_GB2312"/>
          <w:sz w:val="32"/>
          <w:szCs w:val="32"/>
        </w:rPr>
        <w:t>62.65</w:t>
      </w:r>
      <w:r>
        <w:rPr>
          <w:rFonts w:hint="eastAsia" w:ascii="仿宋_GB2312" w:hAnsi="仿宋" w:eastAsia="仿宋_GB2312" w:cs="仿宋_GB2312"/>
          <w:sz w:val="32"/>
          <w:szCs w:val="32"/>
        </w:rPr>
        <w:t>亿元，争取专项债券资金</w:t>
      </w:r>
      <w:r>
        <w:rPr>
          <w:rFonts w:ascii="仿宋_GB2312" w:hAnsi="仿宋" w:eastAsia="仿宋_GB2312" w:cs="仿宋_GB2312"/>
          <w:sz w:val="32"/>
          <w:szCs w:val="32"/>
        </w:rPr>
        <w:t>7.45</w:t>
      </w:r>
      <w:r>
        <w:rPr>
          <w:rFonts w:hint="eastAsia" w:ascii="仿宋_GB2312" w:hAnsi="仿宋" w:eastAsia="仿宋_GB2312" w:cs="仿宋_GB2312"/>
          <w:sz w:val="32"/>
          <w:szCs w:val="32"/>
        </w:rPr>
        <w:t>亿元，主要涉及保障性安居工程、水环境综合治理、生活垃圾处理、卫生、教育、民政等领域。二是加强中央和省预算内投资项目资金监管。通过国家重大建设项目库、湖南省固定资产投资项目在线审批监管平台每月及时向上级发改部门汇报项目建设进度，规范项目建设程序和资金使用管理，督促业主采取有效措施，切实发挥政府资金最大效益。截至目前，重大项目库内中央预算内投资项目、债券项目上报开工率均已达到100</w:t>
      </w:r>
      <w:r>
        <w:rPr>
          <w:rFonts w:ascii="仿宋_GB2312" w:hAnsi="仿宋" w:eastAsia="仿宋_GB2312" w:cs="仿宋_GB2312"/>
          <w:sz w:val="32"/>
          <w:szCs w:val="32"/>
        </w:rPr>
        <w:t>%</w:t>
      </w:r>
      <w:r>
        <w:rPr>
          <w:rFonts w:hint="eastAsia" w:ascii="仿宋_GB2312" w:hAnsi="仿宋" w:eastAsia="仿宋_GB2312" w:cs="仿宋_GB2312"/>
          <w:sz w:val="32"/>
          <w:szCs w:val="32"/>
        </w:rPr>
        <w:t>。三是加强</w:t>
      </w:r>
      <w:r>
        <w:rPr>
          <w:rFonts w:ascii="仿宋_GB2312" w:hAnsi="仿宋" w:eastAsia="仿宋_GB2312" w:cs="仿宋_GB2312"/>
          <w:sz w:val="32"/>
          <w:szCs w:val="32"/>
        </w:rPr>
        <w:t>2023</w:t>
      </w:r>
      <w:r>
        <w:rPr>
          <w:rFonts w:hint="eastAsia" w:ascii="仿宋_GB2312" w:hAnsi="仿宋" w:eastAsia="仿宋_GB2312" w:cs="仿宋_GB2312"/>
          <w:sz w:val="32"/>
          <w:szCs w:val="32"/>
        </w:rPr>
        <w:t>年中央预算内投资项目、专项债券项目的谋划和储备。截至目前，我市针对保障性安居工程、乡村振兴、现代服务业、污染治理等9类24个专项共储备中央预算内投资项目91个，总投资37.08亿元，拟申请中央预算内资金15.45亿元；储备</w:t>
      </w:r>
      <w:r>
        <w:rPr>
          <w:rFonts w:ascii="仿宋_GB2312" w:hAnsi="仿宋" w:eastAsia="仿宋_GB2312" w:cs="仿宋_GB2312"/>
          <w:sz w:val="32"/>
          <w:szCs w:val="32"/>
        </w:rPr>
        <w:t>2023</w:t>
      </w:r>
      <w:r>
        <w:rPr>
          <w:rFonts w:hint="eastAsia" w:ascii="仿宋_GB2312" w:hAnsi="仿宋" w:eastAsia="仿宋_GB2312" w:cs="仿宋_GB2312"/>
          <w:sz w:val="32"/>
          <w:szCs w:val="32"/>
        </w:rPr>
        <w:t>年专项债券项目46个，总投资73.97亿元，拟申请专项债券38.96亿元。</w:t>
      </w:r>
    </w:p>
    <w:p>
      <w:pPr>
        <w:adjustRightInd w:val="0"/>
        <w:snapToGrid w:val="0"/>
        <w:spacing w:line="560" w:lineRule="exact"/>
        <w:rPr>
          <w:rFonts w:ascii="仿宋_GB2312" w:hAnsi="仿宋" w:eastAsia="仿宋_GB2312" w:cs="仿宋_GB2312"/>
          <w:sz w:val="32"/>
          <w:szCs w:val="32"/>
        </w:rPr>
      </w:pPr>
      <w:r>
        <w:rPr>
          <w:rFonts w:hint="eastAsia" w:ascii="仿宋_GB2312" w:hAnsi="仿宋" w:eastAsia="仿宋_GB2312" w:cs="仿宋_GB2312"/>
          <w:sz w:val="32"/>
          <w:szCs w:val="32"/>
        </w:rPr>
        <w:t xml:space="preserve">    （四）强力推进重大项目建设。</w:t>
      </w:r>
      <w:r>
        <w:rPr>
          <w:rFonts w:ascii="仿宋_GB2312" w:hAnsi="仿宋" w:eastAsia="仿宋_GB2312" w:cs="仿宋_GB2312"/>
          <w:sz w:val="32"/>
          <w:szCs w:val="32"/>
        </w:rPr>
        <w:t>2022</w:t>
      </w:r>
      <w:r>
        <w:rPr>
          <w:rFonts w:hint="eastAsia" w:ascii="仿宋_GB2312" w:hAnsi="仿宋" w:eastAsia="仿宋_GB2312" w:cs="仿宋_GB2312"/>
          <w:sz w:val="32"/>
          <w:szCs w:val="32"/>
        </w:rPr>
        <w:t>年，通过“花开四季”系列活动，在全市上下掀起了“以发展论英雄、以业绩论英雄、以项目论英雄”干事创业的新热潮，尤其是二、三季度，通过“夏季大比拼、秋季大攻坚”竞赛活动的开展，效果十分显著。我市</w:t>
      </w:r>
      <w:r>
        <w:rPr>
          <w:rFonts w:ascii="仿宋_GB2312" w:hAnsi="仿宋" w:eastAsia="仿宋_GB2312" w:cs="仿宋_GB2312"/>
          <w:sz w:val="32"/>
          <w:szCs w:val="32"/>
        </w:rPr>
        <w:t>164</w:t>
      </w:r>
      <w:r>
        <w:rPr>
          <w:rFonts w:hint="eastAsia" w:ascii="仿宋_GB2312" w:hAnsi="仿宋" w:eastAsia="仿宋_GB2312" w:cs="仿宋_GB2312"/>
          <w:sz w:val="32"/>
          <w:szCs w:val="32"/>
        </w:rPr>
        <w:t>个重点项目</w:t>
      </w:r>
      <w:r>
        <w:rPr>
          <w:rFonts w:ascii="仿宋_GB2312" w:hAnsi="仿宋" w:eastAsia="仿宋_GB2312" w:cs="仿宋_GB2312"/>
          <w:sz w:val="32"/>
          <w:szCs w:val="32"/>
        </w:rPr>
        <w:t>1-12</w:t>
      </w:r>
      <w:r>
        <w:rPr>
          <w:rFonts w:hint="eastAsia" w:ascii="仿宋_GB2312" w:hAnsi="仿宋" w:eastAsia="仿宋_GB2312" w:cs="仿宋_GB2312"/>
          <w:sz w:val="32"/>
          <w:szCs w:val="32"/>
        </w:rPr>
        <w:t>月预计完成投资</w:t>
      </w:r>
      <w:r>
        <w:rPr>
          <w:rFonts w:ascii="仿宋_GB2312" w:hAnsi="仿宋" w:eastAsia="仿宋_GB2312" w:cs="仿宋_GB2312"/>
          <w:sz w:val="32"/>
          <w:szCs w:val="32"/>
        </w:rPr>
        <w:t>145</w:t>
      </w:r>
      <w:r>
        <w:rPr>
          <w:rFonts w:hint="eastAsia" w:ascii="仿宋_GB2312" w:hAnsi="仿宋" w:eastAsia="仿宋_GB2312" w:cs="仿宋_GB2312"/>
          <w:sz w:val="32"/>
          <w:szCs w:val="32"/>
        </w:rPr>
        <w:t>亿元，占全年任务的</w:t>
      </w:r>
      <w:r>
        <w:rPr>
          <w:rFonts w:ascii="仿宋_GB2312" w:hAnsi="仿宋" w:eastAsia="仿宋_GB2312" w:cs="仿宋_GB2312"/>
          <w:sz w:val="32"/>
          <w:szCs w:val="32"/>
        </w:rPr>
        <w:t>103.28%</w:t>
      </w:r>
      <w:r>
        <w:rPr>
          <w:rFonts w:hint="eastAsia" w:ascii="仿宋_GB2312" w:hAnsi="仿宋" w:eastAsia="仿宋_GB2312" w:cs="仿宋_GB2312"/>
          <w:sz w:val="32"/>
          <w:szCs w:val="32"/>
        </w:rPr>
        <w:t>。益阳市级重点项目</w:t>
      </w:r>
      <w:r>
        <w:rPr>
          <w:rFonts w:ascii="仿宋_GB2312" w:hAnsi="仿宋" w:eastAsia="仿宋_GB2312" w:cs="仿宋_GB2312"/>
          <w:sz w:val="32"/>
          <w:szCs w:val="32"/>
        </w:rPr>
        <w:t>68</w:t>
      </w:r>
      <w:r>
        <w:rPr>
          <w:rFonts w:hint="eastAsia" w:ascii="仿宋_GB2312" w:hAnsi="仿宋" w:eastAsia="仿宋_GB2312" w:cs="仿宋_GB2312"/>
          <w:sz w:val="32"/>
          <w:szCs w:val="32"/>
        </w:rPr>
        <w:t>个，年度计划投资</w:t>
      </w:r>
      <w:r>
        <w:rPr>
          <w:rFonts w:ascii="仿宋_GB2312" w:hAnsi="仿宋" w:eastAsia="仿宋_GB2312" w:cs="仿宋_GB2312"/>
          <w:sz w:val="32"/>
          <w:szCs w:val="32"/>
        </w:rPr>
        <w:t>94.1</w:t>
      </w:r>
      <w:r>
        <w:rPr>
          <w:rFonts w:hint="eastAsia" w:ascii="仿宋_GB2312" w:hAnsi="仿宋" w:eastAsia="仿宋_GB2312" w:cs="仿宋_GB2312"/>
          <w:sz w:val="32"/>
          <w:szCs w:val="32"/>
        </w:rPr>
        <w:t>亿元，</w:t>
      </w:r>
      <w:r>
        <w:rPr>
          <w:rFonts w:ascii="仿宋_GB2312" w:hAnsi="仿宋" w:eastAsia="仿宋_GB2312" w:cs="仿宋_GB2312"/>
          <w:sz w:val="32"/>
          <w:szCs w:val="32"/>
        </w:rPr>
        <w:t>1-11</w:t>
      </w:r>
      <w:r>
        <w:rPr>
          <w:rFonts w:hint="eastAsia" w:ascii="仿宋_GB2312" w:hAnsi="仿宋" w:eastAsia="仿宋_GB2312" w:cs="仿宋_GB2312"/>
          <w:sz w:val="32"/>
          <w:szCs w:val="32"/>
        </w:rPr>
        <w:t>月完成投资</w:t>
      </w:r>
      <w:r>
        <w:rPr>
          <w:rFonts w:ascii="仿宋_GB2312" w:hAnsi="仿宋" w:eastAsia="仿宋_GB2312" w:cs="仿宋_GB2312"/>
          <w:sz w:val="32"/>
          <w:szCs w:val="32"/>
        </w:rPr>
        <w:t>83.89</w:t>
      </w:r>
      <w:r>
        <w:rPr>
          <w:rFonts w:hint="eastAsia" w:ascii="仿宋_GB2312" w:hAnsi="仿宋" w:eastAsia="仿宋_GB2312" w:cs="仿宋_GB2312"/>
          <w:sz w:val="32"/>
          <w:szCs w:val="32"/>
        </w:rPr>
        <w:t>亿元，占年度计划的</w:t>
      </w:r>
      <w:r>
        <w:rPr>
          <w:rFonts w:ascii="仿宋_GB2312" w:hAnsi="仿宋" w:eastAsia="仿宋_GB2312" w:cs="仿宋_GB2312"/>
          <w:sz w:val="32"/>
          <w:szCs w:val="32"/>
        </w:rPr>
        <w:t>89.2%</w:t>
      </w:r>
      <w:r>
        <w:rPr>
          <w:rFonts w:hint="eastAsia" w:ascii="仿宋_GB2312" w:hAnsi="仿宋" w:eastAsia="仿宋_GB2312" w:cs="仿宋_GB2312"/>
          <w:sz w:val="32"/>
          <w:szCs w:val="32"/>
        </w:rPr>
        <w:t>。益阳重点项目建设在区县排名中由第七跃升至第一名。主要措施有：一是科学制定年度计划。年初确定实施重点建设项目</w:t>
      </w:r>
      <w:r>
        <w:rPr>
          <w:rFonts w:ascii="仿宋_GB2312" w:hAnsi="仿宋" w:eastAsia="仿宋_GB2312" w:cs="仿宋_GB2312"/>
          <w:sz w:val="32"/>
          <w:szCs w:val="32"/>
        </w:rPr>
        <w:t>155</w:t>
      </w:r>
      <w:r>
        <w:rPr>
          <w:rFonts w:hint="eastAsia" w:ascii="仿宋_GB2312" w:hAnsi="仿宋" w:eastAsia="仿宋_GB2312" w:cs="仿宋_GB2312"/>
          <w:sz w:val="32"/>
          <w:szCs w:val="32"/>
        </w:rPr>
        <w:t>个，年度计划投资135.9亿元。根据项目实施情况，年中对年度计划适度调整，调整后的重点建设项目</w:t>
      </w:r>
      <w:r>
        <w:rPr>
          <w:rFonts w:ascii="仿宋_GB2312" w:hAnsi="仿宋" w:eastAsia="仿宋_GB2312" w:cs="仿宋_GB2312"/>
          <w:sz w:val="32"/>
          <w:szCs w:val="32"/>
        </w:rPr>
        <w:t>164</w:t>
      </w:r>
      <w:r>
        <w:rPr>
          <w:rFonts w:hint="eastAsia" w:ascii="仿宋_GB2312" w:hAnsi="仿宋" w:eastAsia="仿宋_GB2312" w:cs="仿宋_GB2312"/>
          <w:sz w:val="32"/>
          <w:szCs w:val="32"/>
        </w:rPr>
        <w:t>个，年度计划投资140.41亿元，囊括农业、工业交通、社会发展、能源等各个领域，全面准确反映全市经济社会发展动向。二是全面压实工作责任。严格落实重点项目市级领导联系制，每月根据市统一部署，先后举行5次重点项目集中开（竣）工活动，按下项目建设“加速键”。三是严格督办考核。每月针对进度滞后的项目开展专项督查，每季度联合政府督查室、市纪委对全市重点项目开展一次集中督查，督查情况报送各联系领导、责任单位。</w:t>
      </w:r>
    </w:p>
    <w:p>
      <w:pPr>
        <w:spacing w:line="60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（五）着力优化营商环境和信用体系建设。</w:t>
      </w:r>
      <w:r>
        <w:rPr>
          <w:rFonts w:ascii="仿宋_GB2312" w:hAnsi="仿宋" w:eastAsia="仿宋_GB2312" w:cs="仿宋_GB2312"/>
          <w:sz w:val="32"/>
          <w:szCs w:val="32"/>
        </w:rPr>
        <w:t>2022</w:t>
      </w:r>
      <w:r>
        <w:rPr>
          <w:rFonts w:hint="eastAsia" w:ascii="仿宋_GB2312" w:hAnsi="仿宋" w:eastAsia="仿宋_GB2312" w:cs="仿宋_GB2312"/>
          <w:sz w:val="32"/>
          <w:szCs w:val="32"/>
        </w:rPr>
        <w:t>年，窗口累计办件</w:t>
      </w:r>
      <w:r>
        <w:rPr>
          <w:rFonts w:ascii="仿宋_GB2312" w:hAnsi="仿宋" w:eastAsia="仿宋_GB2312" w:cs="仿宋_GB2312"/>
          <w:sz w:val="32"/>
          <w:szCs w:val="32"/>
        </w:rPr>
        <w:t>270</w:t>
      </w:r>
      <w:r>
        <w:rPr>
          <w:rFonts w:hint="eastAsia" w:ascii="仿宋_GB2312" w:hAnsi="仿宋" w:eastAsia="仿宋_GB2312" w:cs="仿宋_GB2312"/>
          <w:sz w:val="32"/>
          <w:szCs w:val="32"/>
        </w:rPr>
        <w:t>件，其中企业投资项目备案</w:t>
      </w:r>
      <w:r>
        <w:rPr>
          <w:rFonts w:ascii="仿宋_GB2312" w:hAnsi="仿宋" w:eastAsia="仿宋_GB2312" w:cs="仿宋_GB2312"/>
          <w:sz w:val="32"/>
          <w:szCs w:val="32"/>
        </w:rPr>
        <w:t>105</w:t>
      </w:r>
      <w:r>
        <w:rPr>
          <w:rFonts w:hint="eastAsia" w:ascii="仿宋_GB2312" w:hAnsi="仿宋" w:eastAsia="仿宋_GB2312" w:cs="仿宋_GB2312"/>
          <w:sz w:val="32"/>
          <w:szCs w:val="32"/>
        </w:rPr>
        <w:t>件、政府投资项目可行性研究报告批复</w:t>
      </w:r>
      <w:r>
        <w:rPr>
          <w:rFonts w:ascii="仿宋_GB2312" w:hAnsi="仿宋" w:eastAsia="仿宋_GB2312" w:cs="仿宋_GB2312"/>
          <w:sz w:val="32"/>
          <w:szCs w:val="32"/>
        </w:rPr>
        <w:t>110</w:t>
      </w:r>
      <w:r>
        <w:rPr>
          <w:rFonts w:hint="eastAsia" w:ascii="仿宋_GB2312" w:hAnsi="仿宋" w:eastAsia="仿宋_GB2312" w:cs="仿宋_GB2312"/>
          <w:sz w:val="32"/>
          <w:szCs w:val="32"/>
        </w:rPr>
        <w:t>件、招投标核准事项</w:t>
      </w:r>
      <w:r>
        <w:rPr>
          <w:rFonts w:ascii="仿宋_GB2312" w:hAnsi="仿宋" w:eastAsia="仿宋_GB2312" w:cs="仿宋_GB2312"/>
          <w:sz w:val="32"/>
          <w:szCs w:val="32"/>
        </w:rPr>
        <w:t>55</w:t>
      </w:r>
      <w:r>
        <w:rPr>
          <w:rFonts w:hint="eastAsia" w:ascii="仿宋_GB2312" w:hAnsi="仿宋" w:eastAsia="仿宋_GB2312" w:cs="仿宋_GB2312"/>
          <w:sz w:val="32"/>
          <w:szCs w:val="32"/>
        </w:rPr>
        <w:t>件，按时办结率为</w:t>
      </w:r>
      <w:r>
        <w:rPr>
          <w:rFonts w:ascii="仿宋_GB2312" w:hAnsi="仿宋" w:eastAsia="仿宋_GB2312" w:cs="仿宋_GB2312"/>
          <w:sz w:val="32"/>
          <w:szCs w:val="32"/>
        </w:rPr>
        <w:t>100%</w:t>
      </w:r>
      <w:r>
        <w:rPr>
          <w:rFonts w:hint="eastAsia" w:ascii="仿宋_GB2312" w:hAnsi="仿宋" w:eastAsia="仿宋_GB2312" w:cs="仿宋_GB2312"/>
          <w:sz w:val="32"/>
          <w:szCs w:val="32"/>
        </w:rPr>
        <w:t>。</w:t>
      </w:r>
      <w:r>
        <w:rPr>
          <w:rFonts w:ascii="仿宋_GB2312" w:hAnsi="仿宋" w:eastAsia="仿宋_GB2312" w:cs="仿宋_GB2312"/>
          <w:sz w:val="32"/>
          <w:szCs w:val="32"/>
        </w:rPr>
        <w:t>2022</w:t>
      </w:r>
      <w:r>
        <w:rPr>
          <w:rFonts w:hint="eastAsia" w:ascii="仿宋_GB2312" w:hAnsi="仿宋" w:eastAsia="仿宋_GB2312" w:cs="仿宋_GB2312"/>
          <w:sz w:val="32"/>
          <w:szCs w:val="32"/>
        </w:rPr>
        <w:t>年，我局共受理依法必须招标的工程建设项目核准项</w:t>
      </w:r>
      <w:r>
        <w:rPr>
          <w:rFonts w:ascii="仿宋_GB2312" w:hAnsi="仿宋" w:eastAsia="仿宋_GB2312" w:cs="仿宋_GB2312"/>
          <w:sz w:val="32"/>
          <w:szCs w:val="32"/>
        </w:rPr>
        <w:t>69</w:t>
      </w:r>
      <w:r>
        <w:rPr>
          <w:rFonts w:hint="eastAsia" w:ascii="仿宋_GB2312" w:hAnsi="仿宋" w:eastAsia="仿宋_GB2312" w:cs="仿宋_GB2312"/>
          <w:sz w:val="32"/>
          <w:szCs w:val="32"/>
        </w:rPr>
        <w:t>宗，其中公开招标</w:t>
      </w:r>
      <w:r>
        <w:rPr>
          <w:rFonts w:ascii="仿宋_GB2312" w:hAnsi="仿宋" w:eastAsia="仿宋_GB2312" w:cs="仿宋_GB2312"/>
          <w:sz w:val="32"/>
          <w:szCs w:val="32"/>
        </w:rPr>
        <w:t>53</w:t>
      </w:r>
      <w:r>
        <w:rPr>
          <w:rFonts w:hint="eastAsia" w:ascii="仿宋_GB2312" w:hAnsi="仿宋" w:eastAsia="仿宋_GB2312" w:cs="仿宋_GB2312"/>
          <w:sz w:val="32"/>
          <w:szCs w:val="32"/>
        </w:rPr>
        <w:t>宗，邀请招标</w:t>
      </w:r>
      <w:r>
        <w:rPr>
          <w:rFonts w:ascii="仿宋_GB2312" w:hAnsi="仿宋" w:eastAsia="仿宋_GB2312" w:cs="仿宋_GB2312"/>
          <w:sz w:val="32"/>
          <w:szCs w:val="32"/>
        </w:rPr>
        <w:t>14</w:t>
      </w:r>
      <w:r>
        <w:rPr>
          <w:rFonts w:hint="eastAsia" w:ascii="仿宋_GB2312" w:hAnsi="仿宋" w:eastAsia="仿宋_GB2312" w:cs="仿宋_GB2312"/>
          <w:sz w:val="32"/>
          <w:szCs w:val="32"/>
        </w:rPr>
        <w:t>宗。共计核准招标金额约</w:t>
      </w:r>
      <w:r>
        <w:rPr>
          <w:rFonts w:ascii="仿宋_GB2312" w:hAnsi="仿宋" w:eastAsia="仿宋_GB2312" w:cs="仿宋_GB2312"/>
          <w:sz w:val="32"/>
          <w:szCs w:val="32"/>
        </w:rPr>
        <w:t>21.27</w:t>
      </w:r>
      <w:r>
        <w:rPr>
          <w:rFonts w:hint="eastAsia" w:ascii="仿宋_GB2312" w:hAnsi="仿宋" w:eastAsia="仿宋_GB2312" w:cs="仿宋_GB2312"/>
          <w:sz w:val="32"/>
          <w:szCs w:val="32"/>
        </w:rPr>
        <w:t>亿元,其中招标金额</w:t>
      </w:r>
      <w:r>
        <w:rPr>
          <w:rFonts w:ascii="仿宋_GB2312" w:hAnsi="仿宋" w:eastAsia="仿宋_GB2312" w:cs="仿宋_GB2312"/>
          <w:sz w:val="32"/>
          <w:szCs w:val="32"/>
        </w:rPr>
        <w:t>1000</w:t>
      </w:r>
      <w:r>
        <w:rPr>
          <w:rFonts w:hint="eastAsia" w:ascii="仿宋_GB2312" w:hAnsi="仿宋" w:eastAsia="仿宋_GB2312" w:cs="仿宋_GB2312"/>
          <w:sz w:val="32"/>
          <w:szCs w:val="32"/>
        </w:rPr>
        <w:t>万以上的</w:t>
      </w:r>
      <w:r>
        <w:rPr>
          <w:rFonts w:ascii="仿宋_GB2312" w:hAnsi="仿宋" w:eastAsia="仿宋_GB2312" w:cs="仿宋_GB2312"/>
          <w:sz w:val="32"/>
          <w:szCs w:val="32"/>
        </w:rPr>
        <w:t>32</w:t>
      </w:r>
      <w:r>
        <w:rPr>
          <w:rFonts w:hint="eastAsia" w:ascii="仿宋_GB2312" w:hAnsi="仿宋" w:eastAsia="仿宋_GB2312" w:cs="仿宋_GB2312"/>
          <w:sz w:val="32"/>
          <w:szCs w:val="32"/>
        </w:rPr>
        <w:t>宗；加快推进工程建设领域突出问题专项治理，保障建设项目各方的合法利益，坚决杜绝招投标领域违法违规行为。目前，我市近12个月信用综合平均指数，在全国383个县级市中位列283位。在益阳市对各区县市信用体系建设年度考核中位列第2名。</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（六）抓好价格收费管理。一是继续抓好重要民生商品保供稳价，纵深推进重点领域价格改革，完成</w:t>
      </w:r>
      <w:r>
        <w:rPr>
          <w:rFonts w:ascii="仿宋_GB2312" w:hAnsi="仿宋" w:eastAsia="仿宋_GB2312" w:cs="仿宋_GB2312"/>
          <w:sz w:val="32"/>
          <w:szCs w:val="32"/>
        </w:rPr>
        <w:t>8</w:t>
      </w:r>
      <w:r>
        <w:rPr>
          <w:rFonts w:hint="eastAsia" w:ascii="仿宋_GB2312" w:hAnsi="仿宋" w:eastAsia="仿宋_GB2312" w:cs="仿宋_GB2312"/>
          <w:sz w:val="32"/>
          <w:szCs w:val="32"/>
        </w:rPr>
        <w:t>个中型灌区骨干工程农业灌溉供水价格成本监审，配套制定了供水价格，推进了农业水价综合改革；完成烈士陵园公墓、殡仪馆等殡葬价格改革工作；二是持续规范收费行为，保持了物价总水平在合理区间。完成了沅江市城乡客运一体化示范县创建</w:t>
      </w:r>
      <w:r>
        <w:rPr>
          <w:rFonts w:ascii="仿宋_GB2312" w:hAnsi="仿宋" w:eastAsia="仿宋_GB2312" w:cs="仿宋_GB2312"/>
          <w:sz w:val="32"/>
          <w:szCs w:val="32"/>
        </w:rPr>
        <w:t>16</w:t>
      </w:r>
      <w:r>
        <w:rPr>
          <w:rFonts w:hint="eastAsia" w:ascii="仿宋_GB2312" w:hAnsi="仿宋" w:eastAsia="仿宋_GB2312" w:cs="仿宋_GB2312"/>
          <w:sz w:val="32"/>
          <w:szCs w:val="32"/>
        </w:rPr>
        <w:t>条公交线路临时票价核定；完成了</w:t>
      </w:r>
      <w:r>
        <w:rPr>
          <w:rFonts w:ascii="仿宋_GB2312" w:hAnsi="仿宋" w:eastAsia="仿宋_GB2312" w:cs="仿宋_GB2312"/>
          <w:sz w:val="32"/>
          <w:szCs w:val="32"/>
        </w:rPr>
        <w:t>17</w:t>
      </w:r>
      <w:r>
        <w:rPr>
          <w:rFonts w:hint="eastAsia" w:ascii="仿宋_GB2312" w:hAnsi="仿宋" w:eastAsia="仿宋_GB2312" w:cs="仿宋_GB2312"/>
          <w:sz w:val="32"/>
          <w:szCs w:val="32"/>
        </w:rPr>
        <w:t>个开发地段商品房价格备案；重新审定了全市中小学教育收费；三是做好日常价格监测工作。做好重要商品和服务价格的跟踪监测。对粮、油、肉、禽、蛋、蔬菜等重点商品价格加大监测密度和频率，增加上报次数，开展市场监测巡查和调研走访。四是扎实开展价格认证工作。严格按照规定的程序和标准做好价格认定工作，全年共办理各类案件价格认定</w:t>
      </w:r>
      <w:r>
        <w:rPr>
          <w:rFonts w:ascii="仿宋_GB2312" w:hAnsi="仿宋" w:eastAsia="仿宋_GB2312" w:cs="仿宋_GB2312"/>
          <w:sz w:val="32"/>
          <w:szCs w:val="32"/>
        </w:rPr>
        <w:t>103</w:t>
      </w:r>
      <w:r>
        <w:rPr>
          <w:rFonts w:hint="eastAsia" w:ascii="仿宋_GB2312" w:hAnsi="仿宋" w:eastAsia="仿宋_GB2312" w:cs="仿宋_GB2312"/>
          <w:sz w:val="32"/>
          <w:szCs w:val="32"/>
        </w:rPr>
        <w:t>宗，涉案金额</w:t>
      </w:r>
      <w:r>
        <w:rPr>
          <w:rFonts w:ascii="仿宋_GB2312" w:hAnsi="仿宋" w:eastAsia="仿宋_GB2312" w:cs="仿宋_GB2312"/>
          <w:sz w:val="32"/>
          <w:szCs w:val="32"/>
        </w:rPr>
        <w:t>108.3</w:t>
      </w:r>
      <w:r>
        <w:rPr>
          <w:rFonts w:hint="eastAsia" w:ascii="仿宋_GB2312" w:hAnsi="仿宋" w:eastAsia="仿宋_GB2312" w:cs="仿宋_GB2312"/>
          <w:sz w:val="32"/>
          <w:szCs w:val="32"/>
        </w:rPr>
        <w:t>万元。</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（七）有序开展粮食和物资储备工作。一是以“突出优势”为中心，抓实收储工作。沅江政策性粮食储存超</w:t>
      </w:r>
      <w:r>
        <w:rPr>
          <w:rFonts w:ascii="仿宋_GB2312" w:hAnsi="仿宋" w:eastAsia="仿宋_GB2312" w:cs="仿宋_GB2312"/>
          <w:sz w:val="32"/>
          <w:szCs w:val="32"/>
        </w:rPr>
        <w:t>30</w:t>
      </w:r>
      <w:r>
        <w:rPr>
          <w:rFonts w:hint="eastAsia" w:ascii="仿宋_GB2312" w:hAnsi="仿宋" w:eastAsia="仿宋_GB2312" w:cs="仿宋_GB2312"/>
          <w:sz w:val="32"/>
          <w:szCs w:val="32"/>
        </w:rPr>
        <w:t>万吨，其中省级储备粮占全省的</w:t>
      </w:r>
      <w:r>
        <w:rPr>
          <w:rFonts w:ascii="仿宋_GB2312" w:hAnsi="仿宋" w:eastAsia="仿宋_GB2312" w:cs="仿宋_GB2312"/>
          <w:sz w:val="32"/>
          <w:szCs w:val="32"/>
        </w:rPr>
        <w:t>20%</w:t>
      </w:r>
      <w:r>
        <w:rPr>
          <w:rFonts w:hint="eastAsia" w:ascii="仿宋_GB2312" w:hAnsi="仿宋" w:eastAsia="仿宋_GB2312" w:cs="仿宋_GB2312"/>
          <w:sz w:val="32"/>
          <w:szCs w:val="32"/>
        </w:rPr>
        <w:t>以上，占益阳市近</w:t>
      </w:r>
      <w:r>
        <w:rPr>
          <w:rFonts w:ascii="仿宋_GB2312" w:hAnsi="仿宋" w:eastAsia="仿宋_GB2312" w:cs="仿宋_GB2312"/>
          <w:sz w:val="32"/>
          <w:szCs w:val="32"/>
        </w:rPr>
        <w:t>50%</w:t>
      </w:r>
      <w:r>
        <w:rPr>
          <w:rFonts w:hint="eastAsia" w:ascii="仿宋_GB2312" w:hAnsi="仿宋" w:eastAsia="仿宋_GB2312" w:cs="仿宋_GB2312"/>
          <w:sz w:val="32"/>
          <w:szCs w:val="32"/>
        </w:rPr>
        <w:t>。围绕“粮食储备”这一主业，沅江在购、储、销各环节发力，确保国家政策全面落实。有序推进全年各级地方储备粮轮换计划任务</w:t>
      </w:r>
      <w:r>
        <w:rPr>
          <w:rFonts w:ascii="仿宋_GB2312" w:hAnsi="仿宋" w:eastAsia="仿宋_GB2312" w:cs="仿宋_GB2312"/>
          <w:sz w:val="32"/>
          <w:szCs w:val="32"/>
        </w:rPr>
        <w:t>153897.244</w:t>
      </w:r>
      <w:r>
        <w:rPr>
          <w:rFonts w:hint="eastAsia" w:ascii="仿宋_GB2312" w:hAnsi="仿宋" w:eastAsia="仿宋_GB2312" w:cs="仿宋_GB2312"/>
          <w:sz w:val="32"/>
          <w:szCs w:val="32"/>
        </w:rPr>
        <w:t>吨（其中早籼稻收购</w:t>
      </w:r>
      <w:r>
        <w:rPr>
          <w:rFonts w:ascii="仿宋_GB2312" w:hAnsi="仿宋" w:eastAsia="仿宋_GB2312" w:cs="仿宋_GB2312"/>
          <w:sz w:val="32"/>
          <w:szCs w:val="32"/>
        </w:rPr>
        <w:t>88984.902</w:t>
      </w:r>
      <w:r>
        <w:rPr>
          <w:rFonts w:hint="eastAsia" w:ascii="仿宋_GB2312" w:hAnsi="仿宋" w:eastAsia="仿宋_GB2312" w:cs="仿宋_GB2312"/>
          <w:sz w:val="32"/>
          <w:szCs w:val="32"/>
        </w:rPr>
        <w:t>吨，中晚籼稻收购</w:t>
      </w:r>
      <w:r>
        <w:rPr>
          <w:rFonts w:ascii="仿宋_GB2312" w:hAnsi="仿宋" w:eastAsia="仿宋_GB2312" w:cs="仿宋_GB2312"/>
          <w:sz w:val="32"/>
          <w:szCs w:val="32"/>
        </w:rPr>
        <w:t>64912.342</w:t>
      </w:r>
      <w:r>
        <w:rPr>
          <w:rFonts w:hint="eastAsia" w:ascii="仿宋_GB2312" w:hAnsi="仿宋" w:eastAsia="仿宋_GB2312" w:cs="仿宋_GB2312"/>
          <w:sz w:val="32"/>
          <w:szCs w:val="32"/>
        </w:rPr>
        <w:t>吨），截止到</w:t>
      </w:r>
      <w:r>
        <w:rPr>
          <w:rFonts w:ascii="仿宋_GB2312" w:hAnsi="仿宋" w:eastAsia="仿宋_GB2312" w:cs="仿宋_GB2312"/>
          <w:sz w:val="32"/>
          <w:szCs w:val="32"/>
        </w:rPr>
        <w:t>12</w:t>
      </w:r>
      <w:r>
        <w:rPr>
          <w:rFonts w:hint="eastAsia" w:ascii="仿宋_GB2312" w:hAnsi="仿宋" w:eastAsia="仿宋_GB2312" w:cs="仿宋_GB2312"/>
          <w:sz w:val="32"/>
          <w:szCs w:val="32"/>
        </w:rPr>
        <w:t>月</w:t>
      </w:r>
      <w:r>
        <w:rPr>
          <w:rFonts w:ascii="仿宋_GB2312" w:hAnsi="仿宋" w:eastAsia="仿宋_GB2312" w:cs="仿宋_GB2312"/>
          <w:sz w:val="32"/>
          <w:szCs w:val="32"/>
        </w:rPr>
        <w:t>9</w:t>
      </w:r>
      <w:r>
        <w:rPr>
          <w:rFonts w:hint="eastAsia" w:ascii="仿宋_GB2312" w:hAnsi="仿宋" w:eastAsia="仿宋_GB2312" w:cs="仿宋_GB2312"/>
          <w:sz w:val="32"/>
          <w:szCs w:val="32"/>
        </w:rPr>
        <w:t>日，我市各级地方储备轮换任务已全部完成，完成率</w:t>
      </w:r>
      <w:r>
        <w:rPr>
          <w:rFonts w:ascii="仿宋_GB2312" w:hAnsi="仿宋" w:eastAsia="仿宋_GB2312" w:cs="仿宋_GB2312"/>
          <w:sz w:val="32"/>
          <w:szCs w:val="32"/>
        </w:rPr>
        <w:t>100%</w:t>
      </w:r>
      <w:r>
        <w:rPr>
          <w:rFonts w:hint="eastAsia" w:ascii="仿宋_GB2312" w:hAnsi="仿宋" w:eastAsia="仿宋_GB2312" w:cs="仿宋_GB2312"/>
          <w:sz w:val="32"/>
          <w:szCs w:val="32"/>
        </w:rPr>
        <w:t>。二是以“项目建设”为契机，打造绿色仓储。规划建设</w:t>
      </w:r>
      <w:r>
        <w:rPr>
          <w:rFonts w:ascii="仿宋_GB2312" w:hAnsi="仿宋" w:eastAsia="仿宋_GB2312" w:cs="仿宋_GB2312"/>
          <w:sz w:val="32"/>
          <w:szCs w:val="32"/>
        </w:rPr>
        <w:t>18</w:t>
      </w:r>
      <w:r>
        <w:rPr>
          <w:rFonts w:hint="eastAsia" w:ascii="仿宋_GB2312" w:hAnsi="仿宋" w:eastAsia="仿宋_GB2312" w:cs="仿宋_GB2312"/>
          <w:sz w:val="32"/>
          <w:szCs w:val="32"/>
        </w:rPr>
        <w:t>万吨标准化、智能化、绿色储粮仓库。项目计划投入资金</w:t>
      </w:r>
      <w:r>
        <w:rPr>
          <w:rFonts w:ascii="仿宋_GB2312" w:hAnsi="仿宋" w:eastAsia="仿宋_GB2312" w:cs="仿宋_GB2312"/>
          <w:sz w:val="32"/>
          <w:szCs w:val="32"/>
        </w:rPr>
        <w:t>2.22</w:t>
      </w:r>
      <w:r>
        <w:rPr>
          <w:rFonts w:hint="eastAsia" w:ascii="仿宋_GB2312" w:hAnsi="仿宋" w:eastAsia="仿宋_GB2312" w:cs="仿宋_GB2312"/>
          <w:sz w:val="32"/>
          <w:szCs w:val="32"/>
        </w:rPr>
        <w:t>亿元，</w:t>
      </w:r>
      <w:r>
        <w:rPr>
          <w:rFonts w:ascii="仿宋_GB2312" w:hAnsi="仿宋" w:eastAsia="仿宋_GB2312" w:cs="仿宋_GB2312"/>
          <w:sz w:val="32"/>
          <w:szCs w:val="32"/>
        </w:rPr>
        <w:t>2023</w:t>
      </w:r>
      <w:r>
        <w:rPr>
          <w:rFonts w:hint="eastAsia" w:ascii="仿宋_GB2312" w:hAnsi="仿宋" w:eastAsia="仿宋_GB2312" w:cs="仿宋_GB2312"/>
          <w:sz w:val="32"/>
          <w:szCs w:val="32"/>
        </w:rPr>
        <w:t>年</w:t>
      </w:r>
      <w:r>
        <w:rPr>
          <w:rFonts w:ascii="仿宋_GB2312" w:hAnsi="仿宋" w:eastAsia="仿宋_GB2312" w:cs="仿宋_GB2312"/>
          <w:sz w:val="32"/>
          <w:szCs w:val="32"/>
        </w:rPr>
        <w:t>12</w:t>
      </w:r>
      <w:r>
        <w:rPr>
          <w:rFonts w:hint="eastAsia" w:ascii="仿宋_GB2312" w:hAnsi="仿宋" w:eastAsia="仿宋_GB2312" w:cs="仿宋_GB2312"/>
          <w:sz w:val="32"/>
          <w:szCs w:val="32"/>
        </w:rPr>
        <w:t>月</w:t>
      </w:r>
      <w:r>
        <w:rPr>
          <w:rFonts w:ascii="仿宋_GB2312" w:hAnsi="仿宋" w:eastAsia="仿宋_GB2312" w:cs="仿宋_GB2312"/>
          <w:sz w:val="32"/>
          <w:szCs w:val="32"/>
        </w:rPr>
        <w:t>31</w:t>
      </w:r>
      <w:r>
        <w:rPr>
          <w:rFonts w:hint="eastAsia" w:ascii="仿宋_GB2312" w:hAnsi="仿宋" w:eastAsia="仿宋_GB2312" w:cs="仿宋_GB2312"/>
          <w:sz w:val="32"/>
          <w:szCs w:val="32"/>
        </w:rPr>
        <w:t>日前竣工。现首期工程正在走招投标程序，第二期工程，拟在南大膳镇西福垸村新征</w:t>
      </w:r>
      <w:r>
        <w:rPr>
          <w:rFonts w:ascii="仿宋_GB2312" w:hAnsi="仿宋" w:eastAsia="仿宋_GB2312" w:cs="仿宋_GB2312"/>
          <w:sz w:val="32"/>
          <w:szCs w:val="32"/>
        </w:rPr>
        <w:t>138</w:t>
      </w:r>
      <w:r>
        <w:rPr>
          <w:rFonts w:hint="eastAsia" w:ascii="仿宋_GB2312" w:hAnsi="仿宋" w:eastAsia="仿宋_GB2312" w:cs="仿宋_GB2312"/>
          <w:sz w:val="32"/>
          <w:szCs w:val="32"/>
        </w:rPr>
        <w:t>亩土地，建设</w:t>
      </w:r>
      <w:r>
        <w:rPr>
          <w:rFonts w:ascii="仿宋_GB2312" w:hAnsi="仿宋" w:eastAsia="仿宋_GB2312" w:cs="仿宋_GB2312"/>
          <w:sz w:val="32"/>
          <w:szCs w:val="32"/>
        </w:rPr>
        <w:t>13</w:t>
      </w:r>
      <w:r>
        <w:rPr>
          <w:rFonts w:hint="eastAsia" w:ascii="仿宋_GB2312" w:hAnsi="仿宋" w:eastAsia="仿宋_GB2312" w:cs="仿宋_GB2312"/>
          <w:sz w:val="32"/>
          <w:szCs w:val="32"/>
        </w:rPr>
        <w:t>万吨中心库，现正在进行征地拆迁等前期准备工作。三是以“沅江大米”为基础，做大粮食产业。</w:t>
      </w:r>
      <w:r>
        <w:rPr>
          <w:rFonts w:ascii="仿宋_GB2312" w:hAnsi="仿宋" w:eastAsia="仿宋_GB2312" w:cs="仿宋_GB2312"/>
          <w:sz w:val="32"/>
          <w:szCs w:val="32"/>
        </w:rPr>
        <w:t>6</w:t>
      </w:r>
      <w:r>
        <w:rPr>
          <w:rFonts w:hint="eastAsia" w:ascii="仿宋_GB2312" w:hAnsi="仿宋" w:eastAsia="仿宋_GB2312" w:cs="仿宋_GB2312"/>
          <w:sz w:val="32"/>
          <w:szCs w:val="32"/>
        </w:rPr>
        <w:t>月</w:t>
      </w:r>
      <w:r>
        <w:rPr>
          <w:rFonts w:ascii="仿宋_GB2312" w:hAnsi="仿宋" w:eastAsia="仿宋_GB2312" w:cs="仿宋_GB2312"/>
          <w:sz w:val="32"/>
          <w:szCs w:val="32"/>
        </w:rPr>
        <w:t>18</w:t>
      </w:r>
      <w:r>
        <w:rPr>
          <w:rFonts w:hint="eastAsia" w:ascii="仿宋_GB2312" w:hAnsi="仿宋" w:eastAsia="仿宋_GB2312" w:cs="仿宋_GB2312"/>
          <w:sz w:val="32"/>
          <w:szCs w:val="32"/>
        </w:rPr>
        <w:t>日至</w:t>
      </w:r>
      <w:r>
        <w:rPr>
          <w:rFonts w:ascii="仿宋_GB2312" w:hAnsi="仿宋" w:eastAsia="仿宋_GB2312" w:cs="仿宋_GB2312"/>
          <w:sz w:val="32"/>
          <w:szCs w:val="32"/>
        </w:rPr>
        <w:t>20</w:t>
      </w:r>
      <w:r>
        <w:rPr>
          <w:rFonts w:hint="eastAsia" w:ascii="仿宋_GB2312" w:hAnsi="仿宋" w:eastAsia="仿宋_GB2312" w:cs="仿宋_GB2312"/>
          <w:sz w:val="32"/>
          <w:szCs w:val="32"/>
        </w:rPr>
        <w:t>日，沅江市发改局、沅江市粮食产业协会携“沅江大米”农产品地理标志公共品牌旗下</w:t>
      </w:r>
      <w:r>
        <w:rPr>
          <w:rFonts w:ascii="仿宋_GB2312" w:hAnsi="仿宋" w:eastAsia="仿宋_GB2312" w:cs="仿宋_GB2312"/>
          <w:sz w:val="32"/>
          <w:szCs w:val="32"/>
        </w:rPr>
        <w:t>7</w:t>
      </w:r>
      <w:r>
        <w:rPr>
          <w:rFonts w:hint="eastAsia" w:ascii="仿宋_GB2312" w:hAnsi="仿宋" w:eastAsia="仿宋_GB2312" w:cs="仿宋_GB2312"/>
          <w:sz w:val="32"/>
          <w:szCs w:val="32"/>
        </w:rPr>
        <w:t>家粮油企业十余种优质大米产品惊艳亮第十八届粮食产销协作福建洽谈会，集中展示了“天下洞庭水、沅江天下粮”“一粒好米、沅江大米”的良好形象。期间，沅江市粮食产业协会与心尚臻品（一家企业数智化转型综合运营服务商</w:t>
      </w:r>
      <w:r>
        <w:rPr>
          <w:rFonts w:ascii="仿宋_GB2312" w:hAnsi="仿宋" w:eastAsia="仿宋_GB2312" w:cs="仿宋_GB2312"/>
          <w:sz w:val="32"/>
          <w:szCs w:val="32"/>
        </w:rPr>
        <w:t>+</w:t>
      </w:r>
      <w:r>
        <w:rPr>
          <w:rFonts w:hint="eastAsia" w:ascii="仿宋_GB2312" w:hAnsi="仿宋" w:eastAsia="仿宋_GB2312" w:cs="仿宋_GB2312"/>
          <w:sz w:val="32"/>
          <w:szCs w:val="32"/>
        </w:rPr>
        <w:t>孵化器公司）签订了战略合作方案。我市还与湖南工商大学合作，通过两微一抖，小红书、知乎、</w:t>
      </w:r>
      <w:r>
        <w:rPr>
          <w:rFonts w:ascii="仿宋_GB2312" w:hAnsi="仿宋" w:eastAsia="仿宋_GB2312" w:cs="仿宋_GB2312"/>
          <w:sz w:val="32"/>
          <w:szCs w:val="32"/>
        </w:rPr>
        <w:t>B</w:t>
      </w:r>
      <w:r>
        <w:rPr>
          <w:rFonts w:hint="eastAsia" w:ascii="仿宋_GB2312" w:hAnsi="仿宋" w:eastAsia="仿宋_GB2312" w:cs="仿宋_GB2312"/>
          <w:sz w:val="32"/>
          <w:szCs w:val="32"/>
        </w:rPr>
        <w:t>站等多平台多角度推送，加强“沅江大米”品牌宣传推介，“沅江大米”前景可期。</w:t>
      </w:r>
    </w:p>
    <w:p>
      <w:pPr>
        <w:spacing w:line="560" w:lineRule="exact"/>
        <w:ind w:left="-1"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（八）扎实做好易地搬迁后续帮扶工作。</w:t>
      </w:r>
      <w:r>
        <w:rPr>
          <w:rFonts w:ascii="仿宋_GB2312" w:hAnsi="仿宋" w:eastAsia="仿宋_GB2312" w:cs="仿宋_GB2312"/>
          <w:sz w:val="32"/>
          <w:szCs w:val="32"/>
        </w:rPr>
        <w:t>2022</w:t>
      </w:r>
      <w:r>
        <w:rPr>
          <w:rFonts w:hint="eastAsia" w:ascii="仿宋_GB2312" w:hAnsi="仿宋" w:eastAsia="仿宋_GB2312" w:cs="仿宋_GB2312"/>
          <w:sz w:val="32"/>
          <w:szCs w:val="32"/>
        </w:rPr>
        <w:t>年，全市易地扶贫搬迁以后续帮扶工作为核心，对照上级关于加强易地扶贫搬迁集中安置区后续帮扶工作各种措施，持续巩固易地扶贫搬迁脱贫成果。今年会同</w:t>
      </w:r>
      <w:r>
        <w:rPr>
          <w:rFonts w:ascii="仿宋_GB2312" w:hAnsi="仿宋" w:eastAsia="仿宋_GB2312" w:cs="仿宋_GB2312"/>
          <w:sz w:val="32"/>
          <w:szCs w:val="32"/>
        </w:rPr>
        <w:t>20</w:t>
      </w:r>
      <w:r>
        <w:rPr>
          <w:rFonts w:hint="eastAsia" w:ascii="仿宋_GB2312" w:hAnsi="仿宋" w:eastAsia="仿宋_GB2312" w:cs="仿宋_GB2312"/>
          <w:sz w:val="32"/>
          <w:szCs w:val="32"/>
        </w:rPr>
        <w:t>个部门出台了《沅江市关于进一步做好全市易地扶贫搬迁后续扶持工作巩固拓展脱贫攻坚成果的工作方案》、制定了《沅江市易地扶贫搬迁集中安置点后续管理暂行办法》等</w:t>
      </w:r>
      <w:r>
        <w:rPr>
          <w:rFonts w:ascii="仿宋_GB2312" w:hAnsi="仿宋" w:eastAsia="仿宋_GB2312" w:cs="仿宋_GB2312"/>
          <w:sz w:val="32"/>
          <w:szCs w:val="32"/>
        </w:rPr>
        <w:t>5</w:t>
      </w:r>
      <w:r>
        <w:rPr>
          <w:rFonts w:hint="eastAsia" w:ascii="仿宋_GB2312" w:hAnsi="仿宋" w:eastAsia="仿宋_GB2312" w:cs="仿宋_GB2312"/>
          <w:sz w:val="32"/>
          <w:szCs w:val="32"/>
        </w:rPr>
        <w:t>个文件，召开了全市易地扶贫搬迁后续工作推进会，举办</w:t>
      </w:r>
      <w:r>
        <w:rPr>
          <w:rFonts w:ascii="仿宋_GB2312" w:hAnsi="仿宋" w:eastAsia="仿宋_GB2312" w:cs="仿宋_GB2312"/>
          <w:sz w:val="32"/>
          <w:szCs w:val="32"/>
        </w:rPr>
        <w:t>6</w:t>
      </w:r>
      <w:r>
        <w:rPr>
          <w:rFonts w:hint="eastAsia" w:ascii="仿宋_GB2312" w:hAnsi="仿宋" w:eastAsia="仿宋_GB2312" w:cs="仿宋_GB2312"/>
          <w:sz w:val="32"/>
          <w:szCs w:val="32"/>
        </w:rPr>
        <w:t>次业务培训，对安置点日常管理，就业帮扶，乡村治理等工作进行了安排培训和指导，组织各乡镇开展了住房质量消防安全和后续扶持问题两次集中排查整改工作，组织安置户参加</w:t>
      </w:r>
      <w:r>
        <w:rPr>
          <w:rFonts w:ascii="仿宋_GB2312" w:hAnsi="仿宋" w:eastAsia="仿宋_GB2312" w:cs="仿宋_GB2312"/>
          <w:sz w:val="32"/>
          <w:szCs w:val="32"/>
        </w:rPr>
        <w:t>2</w:t>
      </w:r>
      <w:r>
        <w:rPr>
          <w:rFonts w:hint="eastAsia" w:ascii="仿宋_GB2312" w:hAnsi="仿宋" w:eastAsia="仿宋_GB2312" w:cs="仿宋_GB2312"/>
          <w:sz w:val="32"/>
          <w:szCs w:val="32"/>
        </w:rPr>
        <w:t>次市大型招聘会，同时市委政府领导亲临安置点调研督促，全面推进了后扶政策及工作落地见效。今年</w:t>
      </w:r>
      <w:r>
        <w:rPr>
          <w:rFonts w:ascii="仿宋_GB2312" w:hAnsi="仿宋" w:eastAsia="仿宋_GB2312" w:cs="仿宋_GB2312"/>
          <w:sz w:val="32"/>
          <w:szCs w:val="32"/>
        </w:rPr>
        <w:t>2</w:t>
      </w:r>
      <w:r>
        <w:rPr>
          <w:rFonts w:hint="eastAsia" w:ascii="仿宋_GB2312" w:hAnsi="仿宋" w:eastAsia="仿宋_GB2312" w:cs="仿宋_GB2312"/>
          <w:sz w:val="32"/>
          <w:szCs w:val="32"/>
        </w:rPr>
        <w:t>次省发改委委主任带队和</w:t>
      </w:r>
      <w:r>
        <w:rPr>
          <w:rFonts w:ascii="仿宋_GB2312" w:hAnsi="仿宋" w:eastAsia="仿宋_GB2312" w:cs="仿宋_GB2312"/>
          <w:sz w:val="32"/>
          <w:szCs w:val="32"/>
        </w:rPr>
        <w:t>3</w:t>
      </w:r>
      <w:r>
        <w:rPr>
          <w:rFonts w:hint="eastAsia" w:ascii="仿宋_GB2312" w:hAnsi="仿宋" w:eastAsia="仿宋_GB2312" w:cs="仿宋_GB2312"/>
          <w:sz w:val="32"/>
          <w:szCs w:val="32"/>
        </w:rPr>
        <w:t>次益阳市政府和发改委牵头，对我市易地搬迁后续扶持工作检查，都给予了充分肯定。</w:t>
      </w:r>
      <w:r>
        <w:rPr>
          <w:rFonts w:ascii="仿宋_GB2312" w:hAnsi="仿宋" w:eastAsia="仿宋_GB2312" w:cs="仿宋_GB2312"/>
          <w:sz w:val="32"/>
          <w:szCs w:val="32"/>
        </w:rPr>
        <w:t>7</w:t>
      </w:r>
      <w:r>
        <w:rPr>
          <w:rFonts w:hint="eastAsia" w:ascii="仿宋_GB2312" w:hAnsi="仿宋" w:eastAsia="仿宋_GB2312" w:cs="仿宋_GB2312"/>
          <w:sz w:val="32"/>
          <w:szCs w:val="32"/>
        </w:rPr>
        <w:t>月</w:t>
      </w:r>
      <w:r>
        <w:rPr>
          <w:rFonts w:ascii="仿宋_GB2312" w:hAnsi="仿宋" w:eastAsia="仿宋_GB2312" w:cs="仿宋_GB2312"/>
          <w:sz w:val="32"/>
          <w:szCs w:val="32"/>
        </w:rPr>
        <w:t>4</w:t>
      </w:r>
      <w:r>
        <w:rPr>
          <w:rFonts w:hint="eastAsia" w:ascii="仿宋_GB2312" w:hAnsi="仿宋" w:eastAsia="仿宋_GB2312" w:cs="仿宋_GB2312"/>
          <w:sz w:val="32"/>
          <w:szCs w:val="32"/>
        </w:rPr>
        <w:t>日沅江市胭脂湖街道易地扶贫搬迁后扶典型案例被省发改委推荐到中国发展改革报社主办的改革网予以推介。</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（九）有序推进两型能源建设。把新能源产业作为我市的主导产业来抓，促进绿色循环经济发展</w:t>
      </w:r>
      <w:r>
        <w:rPr>
          <w:rFonts w:ascii="仿宋_GB2312" w:hAnsi="仿宋" w:eastAsia="仿宋_GB2312" w:cs="仿宋_GB2312"/>
          <w:sz w:val="32"/>
          <w:szCs w:val="32"/>
        </w:rPr>
        <w:t>,</w:t>
      </w:r>
      <w:r>
        <w:rPr>
          <w:rFonts w:hint="eastAsia" w:ascii="仿宋_GB2312" w:hAnsi="仿宋" w:eastAsia="仿宋_GB2312" w:cs="仿宋_GB2312"/>
          <w:sz w:val="32"/>
          <w:szCs w:val="32"/>
        </w:rPr>
        <w:t>推动生态文明建设。我市历年累计建成光伏、风电总装机</w:t>
      </w:r>
      <w:r>
        <w:rPr>
          <w:rFonts w:ascii="仿宋_GB2312" w:hAnsi="仿宋" w:eastAsia="仿宋_GB2312" w:cs="仿宋_GB2312"/>
          <w:sz w:val="32"/>
          <w:szCs w:val="32"/>
        </w:rPr>
        <w:t>37.99</w:t>
      </w:r>
      <w:r>
        <w:rPr>
          <w:rFonts w:hint="eastAsia" w:ascii="仿宋_GB2312" w:hAnsi="仿宋" w:eastAsia="仿宋_GB2312" w:cs="仿宋_GB2312"/>
          <w:sz w:val="32"/>
          <w:szCs w:val="32"/>
        </w:rPr>
        <w:t>万千瓦，总投资</w:t>
      </w:r>
      <w:r>
        <w:rPr>
          <w:rFonts w:ascii="仿宋_GB2312" w:hAnsi="仿宋" w:eastAsia="仿宋_GB2312" w:cs="仿宋_GB2312"/>
          <w:sz w:val="32"/>
          <w:szCs w:val="32"/>
        </w:rPr>
        <w:t>27.09</w:t>
      </w:r>
      <w:r>
        <w:rPr>
          <w:rFonts w:hint="eastAsia" w:ascii="仿宋_GB2312" w:hAnsi="仿宋" w:eastAsia="仿宋_GB2312" w:cs="仿宋_GB2312"/>
          <w:sz w:val="32"/>
          <w:szCs w:val="32"/>
        </w:rPr>
        <w:t>亿元。龙潭沟</w:t>
      </w:r>
      <w:r>
        <w:rPr>
          <w:rFonts w:ascii="仿宋_GB2312" w:hAnsi="仿宋" w:eastAsia="仿宋_GB2312" w:cs="仿宋_GB2312"/>
          <w:sz w:val="32"/>
          <w:szCs w:val="32"/>
        </w:rPr>
        <w:t>5</w:t>
      </w:r>
      <w:r>
        <w:rPr>
          <w:rFonts w:hint="eastAsia" w:ascii="仿宋_GB2312" w:hAnsi="仿宋" w:eastAsia="仿宋_GB2312" w:cs="仿宋_GB2312"/>
          <w:sz w:val="32"/>
          <w:szCs w:val="32"/>
        </w:rPr>
        <w:t>万千瓦风电项目、大榨栏湖</w:t>
      </w:r>
      <w:r>
        <w:rPr>
          <w:rFonts w:ascii="仿宋_GB2312" w:hAnsi="仿宋" w:eastAsia="仿宋_GB2312" w:cs="仿宋_GB2312"/>
          <w:sz w:val="32"/>
          <w:szCs w:val="32"/>
        </w:rPr>
        <w:t>5</w:t>
      </w:r>
      <w:r>
        <w:rPr>
          <w:rFonts w:hint="eastAsia" w:ascii="仿宋_GB2312" w:hAnsi="仿宋" w:eastAsia="仿宋_GB2312" w:cs="仿宋_GB2312"/>
          <w:sz w:val="32"/>
          <w:szCs w:val="32"/>
        </w:rPr>
        <w:t>万千瓦光伏项目于今年</w:t>
      </w:r>
      <w:r>
        <w:rPr>
          <w:rFonts w:ascii="仿宋_GB2312" w:hAnsi="仿宋" w:eastAsia="仿宋_GB2312" w:cs="仿宋_GB2312"/>
          <w:sz w:val="32"/>
          <w:szCs w:val="32"/>
        </w:rPr>
        <w:t>3</w:t>
      </w:r>
      <w:r>
        <w:rPr>
          <w:rFonts w:hint="eastAsia" w:ascii="仿宋_GB2312" w:hAnsi="仿宋" w:eastAsia="仿宋_GB2312" w:cs="仿宋_GB2312"/>
          <w:sz w:val="32"/>
          <w:szCs w:val="32"/>
        </w:rPr>
        <w:t>月并网发电；南大膳镇</w:t>
      </w:r>
      <w:r>
        <w:rPr>
          <w:rFonts w:ascii="仿宋_GB2312" w:hAnsi="仿宋" w:eastAsia="仿宋_GB2312" w:cs="仿宋_GB2312"/>
          <w:sz w:val="32"/>
          <w:szCs w:val="32"/>
        </w:rPr>
        <w:t>200MW /400MWh</w:t>
      </w:r>
      <w:r>
        <w:rPr>
          <w:rFonts w:hint="eastAsia" w:ascii="仿宋_GB2312" w:hAnsi="仿宋" w:eastAsia="仿宋_GB2312" w:cs="仿宋_GB2312"/>
          <w:sz w:val="32"/>
          <w:szCs w:val="32"/>
        </w:rPr>
        <w:t>储能项目于今年</w:t>
      </w:r>
      <w:r>
        <w:rPr>
          <w:rFonts w:ascii="仿宋_GB2312" w:hAnsi="仿宋" w:eastAsia="仿宋_GB2312" w:cs="仿宋_GB2312"/>
          <w:sz w:val="32"/>
          <w:szCs w:val="32"/>
        </w:rPr>
        <w:t>10</w:t>
      </w:r>
      <w:r>
        <w:rPr>
          <w:rFonts w:hint="eastAsia" w:ascii="仿宋_GB2312" w:hAnsi="仿宋" w:eastAsia="仿宋_GB2312" w:cs="仿宋_GB2312"/>
          <w:sz w:val="32"/>
          <w:szCs w:val="32"/>
        </w:rPr>
        <w:t>月</w:t>
      </w:r>
      <w:r>
        <w:rPr>
          <w:rFonts w:ascii="仿宋_GB2312" w:hAnsi="仿宋" w:eastAsia="仿宋_GB2312" w:cs="仿宋_GB2312"/>
          <w:sz w:val="32"/>
          <w:szCs w:val="32"/>
        </w:rPr>
        <w:t>21</w:t>
      </w:r>
      <w:r>
        <w:rPr>
          <w:rFonts w:hint="eastAsia" w:ascii="仿宋_GB2312" w:hAnsi="仿宋" w:eastAsia="仿宋_GB2312" w:cs="仿宋_GB2312"/>
          <w:sz w:val="32"/>
          <w:szCs w:val="32"/>
        </w:rPr>
        <w:t>日正式奠基；湾镇</w:t>
      </w:r>
      <w:r>
        <w:rPr>
          <w:rFonts w:ascii="仿宋_GB2312" w:hAnsi="仿宋" w:eastAsia="仿宋_GB2312" w:cs="仿宋_GB2312"/>
          <w:sz w:val="32"/>
          <w:szCs w:val="32"/>
        </w:rPr>
        <w:t>100MW/200MWh</w:t>
      </w:r>
      <w:r>
        <w:rPr>
          <w:rFonts w:hint="eastAsia" w:ascii="仿宋_GB2312" w:hAnsi="仿宋" w:eastAsia="仿宋_GB2312" w:cs="仿宋_GB2312"/>
          <w:sz w:val="32"/>
          <w:szCs w:val="32"/>
        </w:rPr>
        <w:t>储能项目，正在办理用地手续，预计近期开工建设。省发展改革委批复沅江市“十四五”风电、集中式光伏项目共</w:t>
      </w:r>
      <w:r>
        <w:rPr>
          <w:rFonts w:ascii="仿宋_GB2312" w:hAnsi="仿宋" w:eastAsia="仿宋_GB2312" w:cs="仿宋_GB2312"/>
          <w:sz w:val="32"/>
          <w:szCs w:val="32"/>
        </w:rPr>
        <w:t>14</w:t>
      </w:r>
      <w:r>
        <w:rPr>
          <w:rFonts w:hint="eastAsia" w:ascii="仿宋_GB2312" w:hAnsi="仿宋" w:eastAsia="仿宋_GB2312" w:cs="仿宋_GB2312"/>
          <w:sz w:val="32"/>
          <w:szCs w:val="32"/>
        </w:rPr>
        <w:t>个。其中：风电项目</w:t>
      </w:r>
      <w:r>
        <w:rPr>
          <w:rFonts w:ascii="仿宋_GB2312" w:hAnsi="仿宋" w:eastAsia="仿宋_GB2312" w:cs="仿宋_GB2312"/>
          <w:sz w:val="32"/>
          <w:szCs w:val="32"/>
        </w:rPr>
        <w:t>4</w:t>
      </w:r>
      <w:r>
        <w:rPr>
          <w:rFonts w:hint="eastAsia" w:ascii="仿宋_GB2312" w:hAnsi="仿宋" w:eastAsia="仿宋_GB2312" w:cs="仿宋_GB2312"/>
          <w:sz w:val="32"/>
          <w:szCs w:val="32"/>
        </w:rPr>
        <w:t>个，装机规模</w:t>
      </w:r>
      <w:r>
        <w:rPr>
          <w:rFonts w:ascii="仿宋_GB2312" w:hAnsi="仿宋" w:eastAsia="仿宋_GB2312" w:cs="仿宋_GB2312"/>
          <w:sz w:val="32"/>
          <w:szCs w:val="32"/>
        </w:rPr>
        <w:t>20</w:t>
      </w:r>
      <w:r>
        <w:rPr>
          <w:rFonts w:hint="eastAsia" w:ascii="仿宋_GB2312" w:hAnsi="仿宋" w:eastAsia="仿宋_GB2312" w:cs="仿宋_GB2312"/>
          <w:sz w:val="32"/>
          <w:szCs w:val="32"/>
        </w:rPr>
        <w:t>万千瓦；集中式光伏项目</w:t>
      </w:r>
      <w:r>
        <w:rPr>
          <w:rFonts w:ascii="仿宋_GB2312" w:hAnsi="仿宋" w:eastAsia="仿宋_GB2312" w:cs="仿宋_GB2312"/>
          <w:sz w:val="32"/>
          <w:szCs w:val="32"/>
        </w:rPr>
        <w:t>10</w:t>
      </w:r>
      <w:r>
        <w:rPr>
          <w:rFonts w:hint="eastAsia" w:ascii="仿宋_GB2312" w:hAnsi="仿宋" w:eastAsia="仿宋_GB2312" w:cs="仿宋_GB2312"/>
          <w:sz w:val="32"/>
          <w:szCs w:val="32"/>
        </w:rPr>
        <w:t>个，装机规模</w:t>
      </w:r>
      <w:r>
        <w:rPr>
          <w:rFonts w:ascii="仿宋_GB2312" w:hAnsi="仿宋" w:eastAsia="仿宋_GB2312" w:cs="仿宋_GB2312"/>
          <w:sz w:val="32"/>
          <w:szCs w:val="32"/>
        </w:rPr>
        <w:t>138</w:t>
      </w:r>
      <w:r>
        <w:rPr>
          <w:rFonts w:hint="eastAsia" w:ascii="仿宋_GB2312" w:hAnsi="仿宋" w:eastAsia="仿宋_GB2312" w:cs="仿宋_GB2312"/>
          <w:sz w:val="32"/>
          <w:szCs w:val="32"/>
        </w:rPr>
        <w:t>万千瓦。下阶段，将结合我市实际，依法依规、科学合理确定“十四五”风电、集中式光伏项目投资主体，并指导和督促企业按程序办理开工手续，加快推进项目建设。</w:t>
      </w:r>
    </w:p>
    <w:p>
      <w:pPr>
        <w:spacing w:line="560" w:lineRule="exact"/>
        <w:ind w:firstLine="640"/>
        <w:rPr>
          <w:rFonts w:ascii="仿宋_GB2312" w:hAnsi="仿宋" w:eastAsia="仿宋_GB2312" w:cs="仿宋_GB2312"/>
          <w:sz w:val="32"/>
          <w:szCs w:val="32"/>
        </w:rPr>
      </w:pPr>
      <w:r>
        <w:rPr>
          <w:rFonts w:hint="eastAsia" w:ascii="仿宋_GB2312" w:hAnsi="仿宋" w:eastAsia="仿宋_GB2312" w:cs="仿宋_GB2312"/>
          <w:sz w:val="32"/>
          <w:szCs w:val="32"/>
        </w:rPr>
        <w:t>（十）常抓不懈党的建设。一是切实提高政治站位，进一步压实基层党建工作责任。局党组切实把党的政治建设摆在首位，坚决贯彻落实上级各项决策部署和主要领导重要指示批示，模范机关和清廉机关创建活动有效序开展，“新发改·心服务”机关党建品牌创建已通过市直机关工作验收。今年，党组共召开党建工作会议</w:t>
      </w:r>
      <w:r>
        <w:rPr>
          <w:rFonts w:ascii="仿宋_GB2312" w:hAnsi="仿宋" w:eastAsia="仿宋_GB2312" w:cs="仿宋_GB2312"/>
          <w:sz w:val="32"/>
          <w:szCs w:val="32"/>
        </w:rPr>
        <w:t>15</w:t>
      </w:r>
      <w:r>
        <w:rPr>
          <w:rFonts w:hint="eastAsia" w:ascii="仿宋_GB2312" w:hAnsi="仿宋" w:eastAsia="仿宋_GB2312" w:cs="仿宋_GB2312"/>
          <w:sz w:val="32"/>
          <w:szCs w:val="32"/>
        </w:rPr>
        <w:t>次，组织党组中心组学习</w:t>
      </w:r>
      <w:r>
        <w:rPr>
          <w:rFonts w:ascii="仿宋_GB2312" w:hAnsi="仿宋" w:eastAsia="仿宋_GB2312" w:cs="仿宋_GB2312"/>
          <w:sz w:val="32"/>
          <w:szCs w:val="32"/>
        </w:rPr>
        <w:t>12</w:t>
      </w:r>
      <w:r>
        <w:rPr>
          <w:rFonts w:hint="eastAsia" w:ascii="仿宋_GB2312" w:hAnsi="仿宋" w:eastAsia="仿宋_GB2312" w:cs="仿宋_GB2312"/>
          <w:sz w:val="32"/>
          <w:szCs w:val="32"/>
        </w:rPr>
        <w:t>次，评选优秀党员</w:t>
      </w:r>
      <w:r>
        <w:rPr>
          <w:rFonts w:ascii="仿宋_GB2312" w:hAnsi="仿宋" w:eastAsia="仿宋_GB2312" w:cs="仿宋_GB2312"/>
          <w:sz w:val="32"/>
          <w:szCs w:val="32"/>
        </w:rPr>
        <w:t>12</w:t>
      </w:r>
      <w:r>
        <w:rPr>
          <w:rFonts w:hint="eastAsia" w:ascii="仿宋_GB2312" w:hAnsi="仿宋" w:eastAsia="仿宋_GB2312" w:cs="仿宋_GB2312"/>
          <w:sz w:val="32"/>
          <w:szCs w:val="32"/>
        </w:rPr>
        <w:t>人，听取支部书记述职</w:t>
      </w:r>
      <w:r>
        <w:rPr>
          <w:rFonts w:ascii="仿宋_GB2312" w:hAnsi="仿宋" w:eastAsia="仿宋_GB2312" w:cs="仿宋_GB2312"/>
          <w:sz w:val="32"/>
          <w:szCs w:val="32"/>
        </w:rPr>
        <w:t>4</w:t>
      </w:r>
      <w:r>
        <w:rPr>
          <w:rFonts w:hint="eastAsia" w:ascii="仿宋_GB2312" w:hAnsi="仿宋" w:eastAsia="仿宋_GB2312" w:cs="仿宋_GB2312"/>
          <w:sz w:val="32"/>
          <w:szCs w:val="32"/>
        </w:rPr>
        <w:t>人</w:t>
      </w:r>
      <w:r>
        <w:rPr>
          <w:rFonts w:ascii="仿宋_GB2312" w:hAnsi="仿宋" w:eastAsia="仿宋_GB2312" w:cs="仿宋_GB2312"/>
          <w:sz w:val="32"/>
          <w:szCs w:val="32"/>
        </w:rPr>
        <w:t>/</w:t>
      </w:r>
      <w:r>
        <w:rPr>
          <w:rFonts w:hint="eastAsia" w:ascii="仿宋_GB2312" w:hAnsi="仿宋" w:eastAsia="仿宋_GB2312" w:cs="仿宋_GB2312"/>
          <w:sz w:val="32"/>
          <w:szCs w:val="32"/>
        </w:rPr>
        <w:t>次，慰问困难党员</w:t>
      </w:r>
      <w:r>
        <w:rPr>
          <w:rFonts w:ascii="仿宋_GB2312" w:hAnsi="仿宋" w:eastAsia="仿宋_GB2312" w:cs="仿宋_GB2312"/>
          <w:sz w:val="32"/>
          <w:szCs w:val="32"/>
        </w:rPr>
        <w:t>6</w:t>
      </w:r>
      <w:r>
        <w:rPr>
          <w:rFonts w:hint="eastAsia" w:ascii="仿宋_GB2312" w:hAnsi="仿宋" w:eastAsia="仿宋_GB2312" w:cs="仿宋_GB2312"/>
          <w:sz w:val="32"/>
          <w:szCs w:val="32"/>
        </w:rPr>
        <w:t>名，安排落实党建经费3.83万元。二是严肃党内政治生活。召开党员大会</w:t>
      </w:r>
      <w:r>
        <w:rPr>
          <w:rFonts w:ascii="仿宋_GB2312" w:hAnsi="仿宋" w:eastAsia="仿宋_GB2312" w:cs="仿宋_GB2312"/>
          <w:sz w:val="32"/>
          <w:szCs w:val="32"/>
        </w:rPr>
        <w:t>14</w:t>
      </w:r>
      <w:r>
        <w:rPr>
          <w:rFonts w:hint="eastAsia" w:ascii="仿宋_GB2312" w:hAnsi="仿宋" w:eastAsia="仿宋_GB2312" w:cs="仿宋_GB2312"/>
          <w:sz w:val="32"/>
          <w:szCs w:val="32"/>
        </w:rPr>
        <w:t>次，上党课</w:t>
      </w:r>
      <w:r>
        <w:rPr>
          <w:rFonts w:ascii="仿宋_GB2312" w:hAnsi="仿宋" w:eastAsia="仿宋_GB2312" w:cs="仿宋_GB2312"/>
          <w:sz w:val="32"/>
          <w:szCs w:val="32"/>
        </w:rPr>
        <w:t>3</w:t>
      </w:r>
      <w:r>
        <w:rPr>
          <w:rFonts w:hint="eastAsia" w:ascii="仿宋_GB2312" w:hAnsi="仿宋" w:eastAsia="仿宋_GB2312" w:cs="仿宋_GB2312"/>
          <w:sz w:val="32"/>
          <w:szCs w:val="32"/>
        </w:rPr>
        <w:t>批次，开展主题党日活动</w:t>
      </w:r>
      <w:r>
        <w:rPr>
          <w:rFonts w:ascii="仿宋_GB2312" w:hAnsi="仿宋" w:eastAsia="仿宋_GB2312" w:cs="仿宋_GB2312"/>
          <w:sz w:val="32"/>
          <w:szCs w:val="32"/>
        </w:rPr>
        <w:t>12</w:t>
      </w:r>
      <w:r>
        <w:rPr>
          <w:rFonts w:hint="eastAsia" w:ascii="仿宋_GB2312" w:hAnsi="仿宋" w:eastAsia="仿宋_GB2312" w:cs="仿宋_GB2312"/>
          <w:sz w:val="32"/>
          <w:szCs w:val="32"/>
        </w:rPr>
        <w:t>次，完成党费收缴4.22万元，完成</w:t>
      </w:r>
      <w:r>
        <w:rPr>
          <w:rFonts w:ascii="仿宋_GB2312" w:hAnsi="仿宋" w:eastAsia="仿宋_GB2312" w:cs="仿宋_GB2312"/>
          <w:sz w:val="32"/>
          <w:szCs w:val="32"/>
        </w:rPr>
        <w:t>1-12</w:t>
      </w:r>
      <w:r>
        <w:rPr>
          <w:rFonts w:hint="eastAsia" w:ascii="仿宋_GB2312" w:hAnsi="仿宋" w:eastAsia="仿宋_GB2312" w:cs="仿宋_GB2312"/>
          <w:sz w:val="32"/>
          <w:szCs w:val="32"/>
        </w:rPr>
        <w:t>月的党员积分评定。三是聚焦重点工作，进一步激励党员干部担当作为。扎实抓好驻村帮扶。党组书记主持召开巩固脱贫攻坚成果工作调度会</w:t>
      </w:r>
      <w:r>
        <w:rPr>
          <w:rFonts w:ascii="仿宋_GB2312" w:hAnsi="仿宋" w:eastAsia="仿宋_GB2312" w:cs="仿宋_GB2312"/>
          <w:sz w:val="32"/>
          <w:szCs w:val="32"/>
        </w:rPr>
        <w:t>10</w:t>
      </w:r>
      <w:r>
        <w:rPr>
          <w:rFonts w:hint="eastAsia" w:ascii="仿宋_GB2312" w:hAnsi="仿宋" w:eastAsia="仿宋_GB2312" w:cs="仿宋_GB2312"/>
          <w:sz w:val="32"/>
          <w:szCs w:val="32"/>
        </w:rPr>
        <w:t>余次，</w:t>
      </w:r>
      <w:r>
        <w:rPr>
          <w:rFonts w:ascii="仿宋_GB2312" w:hAnsi="仿宋" w:eastAsia="仿宋_GB2312" w:cs="仿宋_GB2312"/>
          <w:sz w:val="32"/>
          <w:szCs w:val="32"/>
        </w:rPr>
        <w:t>5</w:t>
      </w:r>
      <w:r>
        <w:rPr>
          <w:rFonts w:hint="eastAsia" w:ascii="仿宋_GB2312" w:hAnsi="仿宋" w:eastAsia="仿宋_GB2312" w:cs="仿宋_GB2312"/>
          <w:sz w:val="32"/>
          <w:szCs w:val="32"/>
        </w:rPr>
        <w:t>次对接指导村集体经济发展，帮助解决</w:t>
      </w:r>
      <w:r>
        <w:rPr>
          <w:rFonts w:ascii="仿宋_GB2312" w:hAnsi="仿宋" w:eastAsia="仿宋_GB2312" w:cs="仿宋_GB2312"/>
          <w:sz w:val="32"/>
          <w:szCs w:val="32"/>
        </w:rPr>
        <w:t>3</w:t>
      </w:r>
      <w:r>
        <w:rPr>
          <w:rFonts w:hint="eastAsia" w:ascii="仿宋_GB2312" w:hAnsi="仿宋" w:eastAsia="仿宋_GB2312" w:cs="仿宋_GB2312"/>
          <w:sz w:val="32"/>
          <w:szCs w:val="32"/>
        </w:rPr>
        <w:t>个村集体经济发展问题，蠡山村软弱涣散党组织整顿任务顺利完成。四是坚守思想舆论阵地，进一步加强意识形态引领。切实履行党组意识形态工作责任，深入学习贯彻习近平新时代中国特色社会主义思想，全面加强意识形态、网络意识形态阵地和队伍管理，全年未发生不良网络舆情事件。五是抓好正风肃纪，进一步落实全面从严治党主体责任。严格落实党风廉政建设责任制，分解细化全面从严治党主体责任工作任务清单；制定行动方案，明确责任分工，深入推进作风建设“九大专项整治行动”；以典型案件为鉴，强化警示教育，观看红色影片</w:t>
      </w:r>
      <w:r>
        <w:rPr>
          <w:rFonts w:ascii="仿宋_GB2312" w:hAnsi="仿宋" w:eastAsia="仿宋_GB2312" w:cs="仿宋_GB2312"/>
          <w:sz w:val="32"/>
          <w:szCs w:val="32"/>
        </w:rPr>
        <w:t>3</w:t>
      </w:r>
      <w:r>
        <w:rPr>
          <w:rFonts w:hint="eastAsia" w:ascii="仿宋_GB2312" w:hAnsi="仿宋" w:eastAsia="仿宋_GB2312" w:cs="仿宋_GB2312"/>
          <w:sz w:val="32"/>
          <w:szCs w:val="32"/>
        </w:rPr>
        <w:t>部，党风廉政专题学习</w:t>
      </w:r>
      <w:r>
        <w:rPr>
          <w:rFonts w:ascii="仿宋_GB2312" w:hAnsi="仿宋" w:eastAsia="仿宋_GB2312" w:cs="仿宋_GB2312"/>
          <w:sz w:val="32"/>
          <w:szCs w:val="32"/>
        </w:rPr>
        <w:t>5</w:t>
      </w:r>
      <w:r>
        <w:rPr>
          <w:rFonts w:hint="eastAsia" w:ascii="仿宋_GB2312" w:hAnsi="仿宋" w:eastAsia="仿宋_GB2312" w:cs="仿宋_GB2312"/>
          <w:sz w:val="32"/>
          <w:szCs w:val="32"/>
        </w:rPr>
        <w:t>次，参观廉政教育基地</w:t>
      </w:r>
      <w:r>
        <w:rPr>
          <w:rFonts w:ascii="仿宋_GB2312" w:hAnsi="仿宋" w:eastAsia="仿宋_GB2312" w:cs="仿宋_GB2312"/>
          <w:sz w:val="32"/>
          <w:szCs w:val="32"/>
        </w:rPr>
        <w:t>2</w:t>
      </w:r>
      <w:r>
        <w:rPr>
          <w:rFonts w:hint="eastAsia" w:ascii="仿宋_GB2312" w:hAnsi="仿宋" w:eastAsia="仿宋_GB2312" w:cs="仿宋_GB2312"/>
          <w:sz w:val="32"/>
          <w:szCs w:val="32"/>
        </w:rPr>
        <w:t>次，开展廉政谈话</w:t>
      </w:r>
      <w:r>
        <w:rPr>
          <w:rFonts w:ascii="仿宋_GB2312" w:hAnsi="仿宋" w:eastAsia="仿宋_GB2312" w:cs="仿宋_GB2312"/>
          <w:sz w:val="32"/>
          <w:szCs w:val="32"/>
        </w:rPr>
        <w:t>40</w:t>
      </w:r>
      <w:r>
        <w:rPr>
          <w:rFonts w:hint="eastAsia" w:ascii="仿宋_GB2312" w:hAnsi="仿宋" w:eastAsia="仿宋_GB2312" w:cs="仿宋_GB2312"/>
          <w:sz w:val="32"/>
          <w:szCs w:val="32"/>
        </w:rPr>
        <w:t>余人次，提醒文明廉洁过节</w:t>
      </w:r>
      <w:r>
        <w:rPr>
          <w:rFonts w:ascii="仿宋_GB2312" w:hAnsi="仿宋" w:eastAsia="仿宋_GB2312" w:cs="仿宋_GB2312"/>
          <w:sz w:val="32"/>
          <w:szCs w:val="32"/>
        </w:rPr>
        <w:t>7</w:t>
      </w:r>
      <w:r>
        <w:rPr>
          <w:rFonts w:hint="eastAsia" w:ascii="仿宋_GB2312" w:hAnsi="仿宋" w:eastAsia="仿宋_GB2312" w:cs="仿宋_GB2312"/>
          <w:sz w:val="32"/>
          <w:szCs w:val="32"/>
        </w:rPr>
        <w:t>次，推进常态化党性锻炼和警示教育。集中开展粮食购销领域以案促改工作；落实对“一把手”和领导班子监督的主体责任清单任务，参加粮油购销总公司民主生活会，加强对其领导班子及其成员的监督；紧盯项目申报、招投标、资金拨付等关键领域，聚焦违反中央八项规定精神突出问题，制定防控措施；持续纠正“四风”问题等。</w:t>
      </w:r>
    </w:p>
    <w:p>
      <w:pPr>
        <w:widowControl/>
        <w:ind w:firstLine="640" w:firstLineChars="200"/>
        <w:jc w:val="left"/>
        <w:rPr>
          <w:rFonts w:ascii="黑体" w:hAnsi="黑体" w:eastAsia="黑体" w:cs="宋体"/>
          <w:kern w:val="0"/>
          <w:szCs w:val="21"/>
        </w:rPr>
      </w:pPr>
      <w:r>
        <w:rPr>
          <w:rFonts w:hint="eastAsia" w:ascii="黑体" w:hAnsi="黑体" w:eastAsia="黑体" w:cs="宋体"/>
          <w:kern w:val="0"/>
          <w:sz w:val="32"/>
          <w:szCs w:val="32"/>
        </w:rPr>
        <w:t>五、存在的问题</w:t>
      </w:r>
    </w:p>
    <w:p>
      <w:pPr>
        <w:widowControl/>
        <w:shd w:val="clear" w:color="auto" w:fill="FFFFFF"/>
        <w:ind w:firstLine="640"/>
        <w:jc w:val="left"/>
        <w:rPr>
          <w:rFonts w:ascii="仿宋_GB2312" w:hAnsi="仿宋" w:eastAsia="仿宋_GB2312" w:cs="仿宋_GB2312"/>
          <w:sz w:val="32"/>
          <w:szCs w:val="32"/>
        </w:rPr>
      </w:pPr>
      <w:r>
        <w:rPr>
          <w:rFonts w:hint="eastAsia" w:ascii="仿宋_GB2312" w:hAnsi="仿宋" w:eastAsia="仿宋_GB2312" w:cs="仿宋_GB2312"/>
          <w:sz w:val="32"/>
          <w:szCs w:val="32"/>
        </w:rPr>
        <w:t>工作经费有缺口。我单位主要职责是谋划沅江经济发展，主要负责立项争资、固定资产投资、争取重大项目资金、优化营商环境、粮食安生与监管和价费监管等工作。这些工作涉及到全市各行各业，需深入基层调研、监督、管理，上下级需沟通、对接、协调，年度专项工作经费支出相当大，有一定的资金缺口。</w:t>
      </w:r>
    </w:p>
    <w:p>
      <w:pPr>
        <w:widowControl/>
        <w:shd w:val="clear" w:color="auto" w:fill="FFFFFF"/>
        <w:ind w:right="640" w:firstLine="640"/>
        <w:jc w:val="right"/>
        <w:rPr>
          <w:rFonts w:ascii="仿宋" w:hAnsi="仿宋" w:eastAsia="仿宋" w:cs="仿宋_GB2312"/>
          <w:sz w:val="32"/>
          <w:szCs w:val="32"/>
        </w:rPr>
      </w:pPr>
    </w:p>
    <w:p>
      <w:pPr>
        <w:widowControl/>
        <w:shd w:val="clear" w:color="auto" w:fill="FFFFFF"/>
        <w:ind w:right="640" w:firstLine="640"/>
        <w:jc w:val="right"/>
        <w:rPr>
          <w:rFonts w:ascii="仿宋" w:hAnsi="仿宋" w:eastAsia="仿宋" w:cs="仿宋_GB2312"/>
          <w:sz w:val="32"/>
          <w:szCs w:val="32"/>
        </w:rPr>
      </w:pPr>
    </w:p>
    <w:p>
      <w:pPr>
        <w:widowControl/>
        <w:shd w:val="clear" w:color="auto" w:fill="FFFFFF"/>
        <w:ind w:right="640" w:firstLine="640"/>
        <w:jc w:val="right"/>
        <w:rPr>
          <w:rFonts w:ascii="仿宋" w:hAnsi="仿宋" w:eastAsia="仿宋" w:cs="仿宋_GB2312"/>
          <w:sz w:val="32"/>
          <w:szCs w:val="32"/>
        </w:rPr>
      </w:pPr>
      <w:r>
        <w:rPr>
          <w:rFonts w:hint="eastAsia" w:ascii="仿宋" w:hAnsi="仿宋" w:eastAsia="仿宋" w:cs="仿宋_GB2312"/>
          <w:sz w:val="32"/>
          <w:szCs w:val="32"/>
        </w:rPr>
        <w:t>沅江市发展和改革局</w:t>
      </w:r>
    </w:p>
    <w:p>
      <w:pPr>
        <w:shd w:val="clear" w:color="auto" w:fill="FFFFFF"/>
        <w:ind w:right="641" w:firstLine="641"/>
        <w:jc w:val="center"/>
        <w:rPr>
          <w:rFonts w:ascii="仿宋" w:hAnsi="仿宋" w:eastAsia="仿宋" w:cs="仿宋_GB2312"/>
          <w:sz w:val="32"/>
          <w:szCs w:val="32"/>
        </w:rPr>
      </w:pPr>
      <w:r>
        <w:rPr>
          <w:rFonts w:hint="eastAsia" w:ascii="仿宋" w:hAnsi="仿宋" w:eastAsia="仿宋" w:cs="仿宋_GB2312"/>
          <w:sz w:val="32"/>
          <w:szCs w:val="32"/>
        </w:rPr>
        <w:t xml:space="preserve">                          2023年4月7日</w:t>
      </w:r>
    </w:p>
    <w:p>
      <w:pPr>
        <w:widowControl/>
        <w:shd w:val="clear" w:color="auto" w:fill="FFFFFF"/>
        <w:ind w:right="640" w:firstLine="640"/>
        <w:jc w:val="center"/>
        <w:rPr>
          <w:rFonts w:ascii="仿宋" w:hAnsi="仿宋" w:eastAsia="仿宋" w:cs="仿宋_GB2312"/>
          <w:sz w:val="32"/>
          <w:szCs w:val="32"/>
        </w:rPr>
      </w:pPr>
    </w:p>
    <w:p>
      <w:pPr>
        <w:widowControl/>
        <w:shd w:val="clear" w:color="auto" w:fill="FFFFFF"/>
        <w:ind w:right="640" w:firstLine="640"/>
        <w:jc w:val="center"/>
        <w:rPr>
          <w:rFonts w:ascii="仿宋" w:hAnsi="仿宋" w:eastAsia="仿宋" w:cs="仿宋_GB2312"/>
          <w:sz w:val="32"/>
          <w:szCs w:val="32"/>
        </w:rPr>
      </w:pPr>
    </w:p>
    <w:p>
      <w:pPr>
        <w:widowControl/>
        <w:shd w:val="clear" w:color="auto" w:fill="FFFFFF"/>
        <w:ind w:right="640" w:firstLine="640"/>
        <w:jc w:val="center"/>
        <w:rPr>
          <w:rFonts w:ascii="仿宋" w:hAnsi="仿宋" w:eastAsia="仿宋" w:cs="仿宋_GB2312"/>
          <w:sz w:val="32"/>
          <w:szCs w:val="32"/>
        </w:rPr>
      </w:pPr>
    </w:p>
    <w:p>
      <w:pPr>
        <w:widowControl/>
        <w:shd w:val="clear" w:color="auto" w:fill="FFFFFF"/>
        <w:ind w:right="640" w:firstLine="640"/>
        <w:jc w:val="center"/>
        <w:rPr>
          <w:rFonts w:ascii="仿宋" w:hAnsi="仿宋" w:eastAsia="仿宋" w:cs="仿宋_GB2312"/>
          <w:sz w:val="32"/>
          <w:szCs w:val="32"/>
        </w:rPr>
      </w:pPr>
    </w:p>
    <w:p>
      <w:pPr>
        <w:widowControl/>
        <w:shd w:val="clear" w:color="auto" w:fill="FFFFFF"/>
        <w:ind w:right="640" w:firstLine="640"/>
        <w:jc w:val="center"/>
        <w:rPr>
          <w:rFonts w:ascii="仿宋" w:hAnsi="仿宋" w:eastAsia="仿宋" w:cs="仿宋_GB2312"/>
          <w:sz w:val="32"/>
          <w:szCs w:val="32"/>
        </w:rPr>
      </w:pPr>
    </w:p>
    <w:p>
      <w:pPr>
        <w:widowControl/>
        <w:shd w:val="clear" w:color="auto" w:fill="FFFFFF"/>
        <w:ind w:right="640" w:firstLine="640"/>
        <w:jc w:val="center"/>
        <w:rPr>
          <w:rFonts w:ascii="仿宋" w:hAnsi="仿宋" w:eastAsia="仿宋" w:cs="仿宋_GB2312"/>
          <w:sz w:val="32"/>
          <w:szCs w:val="32"/>
        </w:rPr>
      </w:pPr>
    </w:p>
    <w:p>
      <w:pPr>
        <w:widowControl/>
        <w:shd w:val="clear" w:color="auto" w:fill="FFFFFF"/>
        <w:ind w:right="640" w:firstLine="640"/>
        <w:jc w:val="center"/>
        <w:rPr>
          <w:rFonts w:ascii="仿宋" w:hAnsi="仿宋" w:eastAsia="仿宋" w:cs="仿宋_GB2312"/>
          <w:sz w:val="32"/>
          <w:szCs w:val="32"/>
        </w:rPr>
      </w:pPr>
    </w:p>
    <w:p>
      <w:pPr>
        <w:widowControl/>
        <w:shd w:val="clear" w:color="auto" w:fill="FFFFFF"/>
        <w:ind w:right="640" w:firstLine="640"/>
        <w:jc w:val="center"/>
        <w:rPr>
          <w:rFonts w:ascii="仿宋" w:hAnsi="仿宋" w:eastAsia="仿宋" w:cs="仿宋_GB2312"/>
          <w:sz w:val="32"/>
          <w:szCs w:val="32"/>
        </w:rPr>
      </w:pPr>
    </w:p>
    <w:p>
      <w:pPr>
        <w:widowControl/>
        <w:shd w:val="clear" w:color="auto" w:fill="FFFFFF"/>
        <w:ind w:right="640" w:firstLine="640"/>
        <w:jc w:val="center"/>
        <w:rPr>
          <w:rFonts w:ascii="仿宋" w:hAnsi="仿宋" w:eastAsia="仿宋" w:cs="仿宋_GB2312"/>
          <w:sz w:val="32"/>
          <w:szCs w:val="32"/>
        </w:rPr>
      </w:pPr>
    </w:p>
    <w:tbl>
      <w:tblPr>
        <w:tblStyle w:val="6"/>
        <w:tblW w:w="9999" w:type="dxa"/>
        <w:jc w:val="center"/>
        <w:tblLayout w:type="autofit"/>
        <w:tblCellMar>
          <w:top w:w="0" w:type="dxa"/>
          <w:left w:w="108" w:type="dxa"/>
          <w:bottom w:w="0" w:type="dxa"/>
          <w:right w:w="108" w:type="dxa"/>
        </w:tblCellMar>
      </w:tblPr>
      <w:tblGrid>
        <w:gridCol w:w="1135"/>
        <w:gridCol w:w="992"/>
        <w:gridCol w:w="1261"/>
        <w:gridCol w:w="1224"/>
        <w:gridCol w:w="1134"/>
        <w:gridCol w:w="1134"/>
        <w:gridCol w:w="828"/>
        <w:gridCol w:w="873"/>
        <w:gridCol w:w="1418"/>
      </w:tblGrid>
      <w:tr>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noWrap/>
            <w:vAlign w:val="center"/>
          </w:tcPr>
          <w:p>
            <w:pPr>
              <w:spacing w:line="500" w:lineRule="exact"/>
              <w:rPr>
                <w:rFonts w:eastAsia="方正小标宋_GBK"/>
                <w:color w:val="000000"/>
                <w:kern w:val="0"/>
                <w:sz w:val="36"/>
                <w:szCs w:val="36"/>
              </w:rPr>
            </w:pPr>
            <w:r>
              <w:rPr>
                <w:rFonts w:hint="eastAsia" w:ascii="仿宋_GB2312" w:eastAsia="仿宋_GB2312"/>
                <w:sz w:val="32"/>
                <w:szCs w:val="32"/>
              </w:rPr>
              <w:t xml:space="preserve">附件2                </w:t>
            </w: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jc w:val="center"/>
              <w:rPr>
                <w:color w:val="000000"/>
                <w:kern w:val="0"/>
                <w:sz w:val="22"/>
              </w:rPr>
            </w:pPr>
            <w:r>
              <w:rPr>
                <w:color w:val="000000"/>
                <w:kern w:val="0"/>
                <w:sz w:val="22"/>
              </w:rPr>
              <w:t>（</w:t>
            </w:r>
            <w:r>
              <w:rPr>
                <w:rFonts w:hint="eastAsia"/>
                <w:color w:val="000000"/>
                <w:kern w:val="0"/>
                <w:sz w:val="22"/>
              </w:rPr>
              <w:t>2022</w:t>
            </w:r>
            <w:r>
              <w:rPr>
                <w:color w:val="000000"/>
                <w:kern w:val="0"/>
                <w:sz w:val="22"/>
              </w:rPr>
              <w:t>年度）</w:t>
            </w: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vAlign w:val="center"/>
          </w:tcPr>
          <w:p>
            <w:pPr>
              <w:widowControl/>
              <w:rPr>
                <w:rFonts w:eastAsia="仿宋_GB2312"/>
                <w:color w:val="000000"/>
                <w:kern w:val="0"/>
                <w:szCs w:val="21"/>
              </w:rPr>
            </w:pPr>
            <w:r>
              <w:rPr>
                <w:rFonts w:hint="eastAsia" w:eastAsia="仿宋_GB2312"/>
                <w:color w:val="000000"/>
                <w:kern w:val="0"/>
                <w:szCs w:val="21"/>
              </w:rPr>
              <w:t>争取项目前期业务、立项争资等项目</w:t>
            </w:r>
          </w:p>
        </w:tc>
      </w:tr>
      <w:tr>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611"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沅江市发展和改革局</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53" w:type="dxa"/>
            <w:gridSpan w:val="2"/>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年初预算数</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全年预算数</w:t>
            </w:r>
          </w:p>
        </w:tc>
        <w:tc>
          <w:tcPr>
            <w:tcW w:w="1134" w:type="dxa"/>
            <w:tcBorders>
              <w:top w:val="nil"/>
              <w:left w:val="nil"/>
              <w:bottom w:val="single" w:color="auto" w:sz="4" w:space="0"/>
              <w:right w:val="single" w:color="auto" w:sz="4" w:space="0"/>
            </w:tcBorders>
          </w:tcPr>
          <w:p>
            <w:pPr>
              <w:rPr>
                <w:rFonts w:eastAsia="仿宋_GB2312"/>
                <w:szCs w:val="21"/>
              </w:rPr>
            </w:pPr>
            <w:r>
              <w:rPr>
                <w:rFonts w:eastAsia="仿宋_GB2312"/>
                <w:szCs w:val="21"/>
              </w:rPr>
              <w:t>全年执行数</w:t>
            </w:r>
          </w:p>
        </w:tc>
        <w:tc>
          <w:tcPr>
            <w:tcW w:w="828" w:type="dxa"/>
            <w:tcBorders>
              <w:top w:val="nil"/>
              <w:left w:val="nil"/>
              <w:bottom w:val="single" w:color="auto" w:sz="4" w:space="0"/>
              <w:right w:val="single" w:color="auto" w:sz="4" w:space="0"/>
            </w:tcBorders>
          </w:tcPr>
          <w:p>
            <w:pPr>
              <w:rPr>
                <w:rFonts w:eastAsia="仿宋_GB2312"/>
                <w:szCs w:val="21"/>
              </w:rPr>
            </w:pPr>
            <w:r>
              <w:rPr>
                <w:rFonts w:eastAsia="仿宋_GB2312"/>
                <w:szCs w:val="21"/>
              </w:rPr>
              <w:t>分值</w:t>
            </w:r>
          </w:p>
        </w:tc>
        <w:tc>
          <w:tcPr>
            <w:tcW w:w="873" w:type="dxa"/>
            <w:tcBorders>
              <w:top w:val="nil"/>
              <w:left w:val="nil"/>
              <w:bottom w:val="single" w:color="auto" w:sz="4" w:space="0"/>
              <w:right w:val="single" w:color="auto" w:sz="4" w:space="0"/>
            </w:tcBorders>
          </w:tcPr>
          <w:p>
            <w:pPr>
              <w:rPr>
                <w:rFonts w:eastAsia="仿宋_GB2312"/>
                <w:szCs w:val="21"/>
              </w:rPr>
            </w:pPr>
            <w:r>
              <w:rPr>
                <w:rFonts w:eastAsia="仿宋_GB2312"/>
                <w:szCs w:val="21"/>
              </w:rPr>
              <w:t>执行率</w:t>
            </w:r>
          </w:p>
        </w:tc>
        <w:tc>
          <w:tcPr>
            <w:tcW w:w="1418" w:type="dxa"/>
            <w:tcBorders>
              <w:top w:val="nil"/>
              <w:left w:val="nil"/>
              <w:bottom w:val="single" w:color="auto" w:sz="4" w:space="0"/>
              <w:right w:val="single" w:color="auto" w:sz="4" w:space="0"/>
            </w:tcBorders>
          </w:tcPr>
          <w:p>
            <w:pP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253" w:type="dxa"/>
            <w:gridSpan w:val="2"/>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130</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579</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569</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98%</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9.8</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253" w:type="dxa"/>
            <w:gridSpan w:val="2"/>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130</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253" w:type="dxa"/>
            <w:gridSpan w:val="2"/>
            <w:tcBorders>
              <w:top w:val="nil"/>
              <w:left w:val="nil"/>
              <w:bottom w:val="single" w:color="auto" w:sz="4" w:space="0"/>
              <w:right w:val="single" w:color="auto" w:sz="4" w:space="0"/>
            </w:tcBorders>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kern w:val="0"/>
                <w:szCs w:val="21"/>
              </w:rPr>
            </w:pPr>
          </w:p>
        </w:tc>
        <w:tc>
          <w:tcPr>
            <w:tcW w:w="2253" w:type="dxa"/>
            <w:gridSpan w:val="2"/>
            <w:tcBorders>
              <w:top w:val="nil"/>
              <w:left w:val="nil"/>
              <w:bottom w:val="single" w:color="auto" w:sz="4" w:space="0"/>
              <w:right w:val="single" w:color="auto" w:sz="4" w:space="0"/>
            </w:tcBorders>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年度总</w:t>
            </w:r>
          </w:p>
          <w:p>
            <w:pPr>
              <w:widowControl/>
              <w:jc w:val="center"/>
              <w:rPr>
                <w:rFonts w:eastAsia="仿宋_GB2312"/>
                <w:color w:val="000000"/>
                <w:kern w:val="0"/>
                <w:szCs w:val="21"/>
              </w:rPr>
            </w:pPr>
            <w:r>
              <w:rPr>
                <w:rFonts w:eastAsia="仿宋_GB2312"/>
                <w:color w:val="000000"/>
                <w:kern w:val="0"/>
                <w:szCs w:val="21"/>
              </w:rPr>
              <w:t>体目标</w:t>
            </w:r>
          </w:p>
        </w:tc>
        <w:tc>
          <w:tcPr>
            <w:tcW w:w="4611" w:type="dxa"/>
            <w:gridSpan w:val="4"/>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715" w:hRule="atLeast"/>
          <w:jc w:val="center"/>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4611" w:type="dxa"/>
            <w:gridSpan w:val="4"/>
            <w:tcBorders>
              <w:top w:val="single" w:color="auto" w:sz="4" w:space="0"/>
              <w:left w:val="nil"/>
              <w:bottom w:val="single" w:color="auto" w:sz="4" w:space="0"/>
              <w:right w:val="single" w:color="000000" w:sz="4" w:space="0"/>
            </w:tcBorders>
            <w:vAlign w:val="center"/>
          </w:tcPr>
          <w:p>
            <w:pPr>
              <w:widowControl/>
              <w:rPr>
                <w:rFonts w:eastAsia="仿宋_GB2312"/>
                <w:color w:val="000000"/>
                <w:kern w:val="0"/>
                <w:szCs w:val="21"/>
              </w:rPr>
            </w:pPr>
            <w:r>
              <w:rPr>
                <w:rFonts w:hint="eastAsia" w:eastAsia="仿宋_GB2312"/>
                <w:color w:val="000000"/>
                <w:kern w:val="0"/>
                <w:szCs w:val="21"/>
              </w:rPr>
              <w:t>确保各专项工作有序开展、顺利完成。</w:t>
            </w:r>
          </w:p>
        </w:tc>
        <w:tc>
          <w:tcPr>
            <w:tcW w:w="4253"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各专项工作有序开展、顺利完成。</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2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p>
          <w:p>
            <w:pPr>
              <w:widowControl/>
              <w:jc w:val="center"/>
              <w:rPr>
                <w:rFonts w:eastAsia="仿宋_GB2312"/>
                <w:color w:val="000000"/>
                <w:kern w:val="0"/>
                <w:szCs w:val="21"/>
              </w:rPr>
            </w:pPr>
            <w:r>
              <w:rPr>
                <w:rFonts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22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立项争资任务</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72亿</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72.2亿</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固定资产投资目标</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增速12%以上</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增速27.5%</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26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22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如质完成各专项任务</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90%</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20</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18</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26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22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一个年度</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1年</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1年</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jc w:val="left"/>
              <w:rPr>
                <w:rFonts w:eastAsia="仿宋_GB2312"/>
                <w:color w:val="000000"/>
                <w:kern w:val="0"/>
                <w:szCs w:val="21"/>
              </w:rPr>
            </w:pPr>
          </w:p>
        </w:tc>
        <w:tc>
          <w:tcPr>
            <w:tcW w:w="126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22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财政预算</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财政预算内</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财政预算内</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restart"/>
            <w:tcBorders>
              <w:top w:val="single" w:color="auto" w:sz="4" w:space="0"/>
              <w:left w:val="nil"/>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left"/>
              <w:rPr>
                <w:rFonts w:eastAsia="仿宋_GB2312"/>
                <w:color w:val="000000"/>
                <w:kern w:val="0"/>
                <w:szCs w:val="21"/>
              </w:rPr>
            </w:pPr>
          </w:p>
          <w:p>
            <w:pPr>
              <w:widowControl/>
              <w:jc w:val="left"/>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3</w:t>
            </w:r>
            <w:r>
              <w:rPr>
                <w:rFonts w:eastAsia="仿宋_GB2312"/>
                <w:color w:val="000000"/>
                <w:kern w:val="0"/>
                <w:szCs w:val="21"/>
              </w:rPr>
              <w:t>0分）</w:t>
            </w:r>
          </w:p>
          <w:p>
            <w:pPr>
              <w:jc w:val="left"/>
              <w:rPr>
                <w:rFonts w:eastAsia="仿宋_GB2312"/>
                <w:color w:val="000000"/>
                <w:kern w:val="0"/>
                <w:szCs w:val="21"/>
              </w:rPr>
            </w:pPr>
            <w:r>
              <w:rPr>
                <w:rFonts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22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无</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0</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不直接产生经济效益</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left w:val="nil"/>
              <w:right w:val="single" w:color="auto" w:sz="4" w:space="0"/>
            </w:tcBorders>
            <w:vAlign w:val="center"/>
          </w:tcPr>
          <w:p>
            <w:pPr>
              <w:jc w:val="left"/>
              <w:rPr>
                <w:rFonts w:eastAsia="仿宋_GB2312"/>
                <w:color w:val="000000"/>
                <w:kern w:val="0"/>
                <w:szCs w:val="21"/>
              </w:rPr>
            </w:pPr>
          </w:p>
        </w:tc>
        <w:tc>
          <w:tcPr>
            <w:tcW w:w="1261"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22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社会效益效果明显</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效果明显</w:t>
            </w:r>
          </w:p>
        </w:tc>
        <w:tc>
          <w:tcPr>
            <w:tcW w:w="1134"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有一定成效</w:t>
            </w:r>
          </w:p>
        </w:tc>
        <w:tc>
          <w:tcPr>
            <w:tcW w:w="82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center"/>
              <w:rPr>
                <w:rFonts w:eastAsia="仿宋_GB2312"/>
                <w:color w:val="000000"/>
                <w:kern w:val="0"/>
                <w:szCs w:val="21"/>
              </w:rPr>
            </w:pPr>
          </w:p>
        </w:tc>
        <w:tc>
          <w:tcPr>
            <w:tcW w:w="992" w:type="dxa"/>
            <w:vMerge w:val="continue"/>
            <w:tcBorders>
              <w:left w:val="nil"/>
              <w:right w:val="single" w:color="auto" w:sz="4" w:space="0"/>
            </w:tcBorders>
            <w:vAlign w:val="center"/>
          </w:tcPr>
          <w:p>
            <w:pPr>
              <w:jc w:val="left"/>
              <w:rPr>
                <w:rFonts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生态效益效果明显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效果明显</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有一定成效</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5</w:t>
            </w:r>
          </w:p>
        </w:tc>
        <w:tc>
          <w:tcPr>
            <w:tcW w:w="873"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3</w:t>
            </w:r>
          </w:p>
        </w:tc>
        <w:tc>
          <w:tcPr>
            <w:tcW w:w="1418" w:type="dxa"/>
            <w:tcBorders>
              <w:top w:val="single" w:color="auto" w:sz="4" w:space="0"/>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widowControl/>
              <w:jc w:val="center"/>
              <w:rPr>
                <w:rFonts w:eastAsia="仿宋_GB2312"/>
                <w:color w:val="000000"/>
                <w:kern w:val="0"/>
                <w:szCs w:val="21"/>
              </w:rPr>
            </w:pPr>
          </w:p>
        </w:tc>
        <w:tc>
          <w:tcPr>
            <w:tcW w:w="992" w:type="dxa"/>
            <w:vMerge w:val="continue"/>
            <w:tcBorders>
              <w:left w:val="single" w:color="auto" w:sz="4" w:space="0"/>
              <w:right w:val="single" w:color="auto" w:sz="4" w:space="0"/>
            </w:tcBorders>
            <w:vAlign w:val="center"/>
          </w:tcPr>
          <w:p>
            <w:pPr>
              <w:widowControl/>
              <w:jc w:val="left"/>
              <w:rPr>
                <w:rFonts w:eastAsia="仿宋_GB2312"/>
                <w:color w:val="000000"/>
                <w:kern w:val="0"/>
                <w:szCs w:val="21"/>
              </w:rPr>
            </w:pPr>
          </w:p>
        </w:tc>
        <w:tc>
          <w:tcPr>
            <w:tcW w:w="1261" w:type="dxa"/>
            <w:tcBorders>
              <w:top w:val="single" w:color="auto" w:sz="4" w:space="0"/>
              <w:left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可持续影响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1年</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vAlign w:val="center"/>
          </w:tcPr>
          <w:p>
            <w:pPr>
              <w:jc w:val="left"/>
              <w:rPr>
                <w:rFonts w:eastAsia="仿宋_GB2312"/>
                <w:color w:val="000000"/>
                <w:kern w:val="0"/>
                <w:szCs w:val="21"/>
              </w:rPr>
            </w:pPr>
          </w:p>
        </w:tc>
        <w:tc>
          <w:tcPr>
            <w:tcW w:w="992" w:type="dxa"/>
            <w:vMerge w:val="restart"/>
            <w:tcBorders>
              <w:top w:val="nil"/>
              <w:left w:val="nil"/>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261" w:type="dxa"/>
            <w:vMerge w:val="restart"/>
            <w:tcBorders>
              <w:top w:val="nil"/>
              <w:left w:val="nil"/>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服务对象100%满意</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100%</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98%</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10</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9.8</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jc w:val="left"/>
              <w:rPr>
                <w:rFonts w:eastAsia="仿宋_GB2312"/>
                <w:color w:val="000000"/>
                <w:kern w:val="0"/>
                <w:szCs w:val="21"/>
              </w:rPr>
            </w:pPr>
          </w:p>
        </w:tc>
        <w:tc>
          <w:tcPr>
            <w:tcW w:w="1261" w:type="dxa"/>
            <w:vMerge w:val="continue"/>
            <w:tcBorders>
              <w:left w:val="nil"/>
              <w:bottom w:val="single" w:color="auto" w:sz="4" w:space="0"/>
              <w:right w:val="single" w:color="auto" w:sz="4" w:space="0"/>
            </w:tcBorders>
            <w:vAlign w:val="center"/>
          </w:tcPr>
          <w:p>
            <w:pPr>
              <w:widowControl/>
              <w:jc w:val="left"/>
              <w:rPr>
                <w:rFonts w:eastAsia="仿宋_GB2312"/>
                <w:color w:val="000000"/>
                <w:kern w:val="0"/>
                <w:szCs w:val="21"/>
              </w:rPr>
            </w:pP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tcBorders>
              <w:top w:val="nil"/>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hint="eastAsia" w:eastAsia="仿宋_GB2312"/>
                <w:color w:val="000000"/>
                <w:kern w:val="0"/>
                <w:szCs w:val="21"/>
              </w:rPr>
              <w:t>78.6</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kern w:val="0"/>
                <w:szCs w:val="21"/>
              </w:rPr>
            </w:pPr>
            <w:r>
              <w:rPr>
                <w:rFonts w:eastAsia="仿宋_GB2312"/>
                <w:color w:val="000000"/>
                <w:kern w:val="0"/>
                <w:szCs w:val="21"/>
              </w:rPr>
              <w:t>　</w:t>
            </w:r>
          </w:p>
        </w:tc>
      </w:tr>
    </w:tbl>
    <w:p>
      <w:pPr>
        <w:spacing w:beforeLines="50"/>
      </w:pPr>
      <w:r>
        <w:rPr>
          <w:rFonts w:eastAsia="仿宋_GB2312"/>
          <w:sz w:val="24"/>
        </w:rPr>
        <w:t>填表人：</w:t>
      </w:r>
      <w:r>
        <w:rPr>
          <w:rFonts w:hint="eastAsia" w:eastAsia="仿宋_GB2312"/>
          <w:sz w:val="24"/>
        </w:rPr>
        <w:t xml:space="preserve">曾佩  </w:t>
      </w:r>
      <w:r>
        <w:rPr>
          <w:rFonts w:eastAsia="仿宋_GB2312"/>
          <w:sz w:val="24"/>
        </w:rPr>
        <w:t>填报日期</w:t>
      </w:r>
      <w:r>
        <w:rPr>
          <w:rFonts w:hint="eastAsia" w:eastAsia="仿宋_GB2312"/>
          <w:sz w:val="24"/>
        </w:rPr>
        <w:t>：4.7</w:t>
      </w:r>
      <w:r>
        <w:rPr>
          <w:rFonts w:eastAsia="仿宋_GB2312"/>
          <w:sz w:val="24"/>
        </w:rPr>
        <w:t xml:space="preserve"> </w:t>
      </w:r>
      <w:r>
        <w:rPr>
          <w:rFonts w:hint="eastAsia" w:eastAsia="仿宋_GB2312"/>
          <w:sz w:val="24"/>
        </w:rPr>
        <w:t xml:space="preserve"> </w:t>
      </w:r>
      <w:r>
        <w:rPr>
          <w:rFonts w:eastAsia="仿宋_GB2312"/>
          <w:sz w:val="24"/>
        </w:rPr>
        <w:t>联系电话：</w:t>
      </w:r>
      <w:r>
        <w:rPr>
          <w:rFonts w:hint="eastAsia" w:eastAsia="仿宋_GB2312"/>
          <w:sz w:val="24"/>
        </w:rPr>
        <w:t>15989426096</w:t>
      </w:r>
      <w:r>
        <w:rPr>
          <w:rFonts w:eastAsia="仿宋_GB2312"/>
          <w:sz w:val="24"/>
        </w:rPr>
        <w:t xml:space="preserve"> </w:t>
      </w:r>
      <w:r>
        <w:rPr>
          <w:rFonts w:hint="eastAsia" w:eastAsia="仿宋_GB2312"/>
          <w:sz w:val="24"/>
        </w:rPr>
        <w:t xml:space="preserve"> </w:t>
      </w:r>
      <w:r>
        <w:rPr>
          <w:rFonts w:eastAsia="仿宋_GB2312"/>
          <w:sz w:val="24"/>
        </w:rPr>
        <w:t>单位负责人签字：</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409575</wp:posOffset>
                </wp:positionV>
                <wp:extent cx="5600700" cy="13335"/>
                <wp:effectExtent l="0" t="4445" r="0" b="7620"/>
                <wp:wrapNone/>
                <wp:docPr id="3" name="直接连接符 3"/>
                <wp:cNvGraphicFramePr/>
                <a:graphic xmlns:a="http://schemas.openxmlformats.org/drawingml/2006/main">
                  <a:graphicData uri="http://schemas.microsoft.com/office/word/2010/wordprocessingShape">
                    <wps:wsp>
                      <wps:cNvCnPr/>
                      <wps:spPr>
                        <a:xfrm>
                          <a:off x="0" y="0"/>
                          <a:ext cx="5600700" cy="133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2.25pt;height:1.05pt;width:441pt;z-index:251659264;mso-width-relative:page;mso-height-relative:page;" filled="f" stroked="t" coordsize="21600,21600" o:gfxdata="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OgwzUAAAABgEAAA8AAAAAAAAAAQAgAAAAIgAAAGRycy9kb3ducmV2LnhtbFBLAQIUABQA&#10;AAAIAIdO4kDuyEQ99AEAAOoDAAAOAAAAAAAAAAEAIAAAACM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13335"/>
                <wp:effectExtent l="0" t="4445" r="0" b="7620"/>
                <wp:wrapNone/>
                <wp:docPr id="2" name="直接连接符 2"/>
                <wp:cNvGraphicFramePr/>
                <a:graphic xmlns:a="http://schemas.openxmlformats.org/drawingml/2006/main">
                  <a:graphicData uri="http://schemas.microsoft.com/office/word/2010/wordprocessingShape">
                    <wps:wsp>
                      <wps:cNvCnPr/>
                      <wps:spPr>
                        <a:xfrm>
                          <a:off x="0" y="0"/>
                          <a:ext cx="5600700" cy="133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1.05pt;width:441pt;z-index:251659264;mso-width-relative:page;mso-height-relative:page;" filled="f" stroked="t" coordsize="21600,21600" o:gfxdata="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GQxt0gAAAAMBAAAPAAAAAAAAAAEAIAAAACIAAABkcnMvZG93bnJldi54bWxQSwECFAAUAAAA&#10;CACHTuJAq2dn7/QBAADqAwAADgAAAAAAAAABACAAAAAhAQAAZHJzL2Uyb0RvYy54bWxQSwUGAAAA&#10;AAYABgBZAQAAhwUAAAAA&#10;">
                <v:fill on="f" focussize="0,0"/>
                <v:stroke color="#000000" joinstyle="round"/>
                <v:imagedata o:title=""/>
                <o:lock v:ext="edit" aspectratio="f"/>
              </v:line>
            </w:pict>
          </mc:Fallback>
        </mc:AlternateConten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1 -</w:t>
    </w:r>
    <w:r>
      <w:rPr>
        <w:sz w:val="32"/>
        <w:szCs w:val="32"/>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3A"/>
    <w:rsid w:val="0000310F"/>
    <w:rsid w:val="000072BF"/>
    <w:rsid w:val="00017115"/>
    <w:rsid w:val="00026580"/>
    <w:rsid w:val="0004228C"/>
    <w:rsid w:val="00042384"/>
    <w:rsid w:val="000426D4"/>
    <w:rsid w:val="000437D5"/>
    <w:rsid w:val="0004527F"/>
    <w:rsid w:val="00053681"/>
    <w:rsid w:val="00054E33"/>
    <w:rsid w:val="00063E70"/>
    <w:rsid w:val="000729EB"/>
    <w:rsid w:val="000744C6"/>
    <w:rsid w:val="00081696"/>
    <w:rsid w:val="00087087"/>
    <w:rsid w:val="000958D3"/>
    <w:rsid w:val="000A2BBB"/>
    <w:rsid w:val="000A4EFB"/>
    <w:rsid w:val="000A5706"/>
    <w:rsid w:val="000B2666"/>
    <w:rsid w:val="000C43B8"/>
    <w:rsid w:val="000D1339"/>
    <w:rsid w:val="000D2B07"/>
    <w:rsid w:val="000E26CE"/>
    <w:rsid w:val="000F2E81"/>
    <w:rsid w:val="000F3264"/>
    <w:rsid w:val="000F7BFC"/>
    <w:rsid w:val="001029F0"/>
    <w:rsid w:val="001130E4"/>
    <w:rsid w:val="00114B27"/>
    <w:rsid w:val="00116B8C"/>
    <w:rsid w:val="001208DF"/>
    <w:rsid w:val="001254EB"/>
    <w:rsid w:val="00131DE1"/>
    <w:rsid w:val="00131E9C"/>
    <w:rsid w:val="00144827"/>
    <w:rsid w:val="001455FD"/>
    <w:rsid w:val="00146823"/>
    <w:rsid w:val="0015165D"/>
    <w:rsid w:val="00151775"/>
    <w:rsid w:val="00170F72"/>
    <w:rsid w:val="00176E01"/>
    <w:rsid w:val="00183063"/>
    <w:rsid w:val="001904FE"/>
    <w:rsid w:val="00196BB1"/>
    <w:rsid w:val="001A6011"/>
    <w:rsid w:val="001A6808"/>
    <w:rsid w:val="001B7C91"/>
    <w:rsid w:val="001D4916"/>
    <w:rsid w:val="001D760D"/>
    <w:rsid w:val="001E02DC"/>
    <w:rsid w:val="001F24E5"/>
    <w:rsid w:val="001F6F2A"/>
    <w:rsid w:val="00207D02"/>
    <w:rsid w:val="00222EF8"/>
    <w:rsid w:val="0022608B"/>
    <w:rsid w:val="00232211"/>
    <w:rsid w:val="0024450F"/>
    <w:rsid w:val="00254E36"/>
    <w:rsid w:val="00256B94"/>
    <w:rsid w:val="00256BB6"/>
    <w:rsid w:val="00261BD5"/>
    <w:rsid w:val="002661AB"/>
    <w:rsid w:val="00282838"/>
    <w:rsid w:val="00286B50"/>
    <w:rsid w:val="002A1ADE"/>
    <w:rsid w:val="002A53A1"/>
    <w:rsid w:val="002B044F"/>
    <w:rsid w:val="002C2077"/>
    <w:rsid w:val="002C60F0"/>
    <w:rsid w:val="002E306E"/>
    <w:rsid w:val="002E45FB"/>
    <w:rsid w:val="002E56D8"/>
    <w:rsid w:val="002E74C7"/>
    <w:rsid w:val="002E7582"/>
    <w:rsid w:val="002F4C2D"/>
    <w:rsid w:val="003057D6"/>
    <w:rsid w:val="003131BA"/>
    <w:rsid w:val="00315244"/>
    <w:rsid w:val="00332D74"/>
    <w:rsid w:val="003354CC"/>
    <w:rsid w:val="00346468"/>
    <w:rsid w:val="0034646C"/>
    <w:rsid w:val="0036230D"/>
    <w:rsid w:val="0036477A"/>
    <w:rsid w:val="0037227D"/>
    <w:rsid w:val="0037381A"/>
    <w:rsid w:val="00375745"/>
    <w:rsid w:val="00376B53"/>
    <w:rsid w:val="0037714B"/>
    <w:rsid w:val="00384229"/>
    <w:rsid w:val="0039055D"/>
    <w:rsid w:val="00390D01"/>
    <w:rsid w:val="00393C56"/>
    <w:rsid w:val="00396DA5"/>
    <w:rsid w:val="003C3D67"/>
    <w:rsid w:val="003C4407"/>
    <w:rsid w:val="003F346C"/>
    <w:rsid w:val="003F6F2D"/>
    <w:rsid w:val="00421A72"/>
    <w:rsid w:val="004263AC"/>
    <w:rsid w:val="00431EE9"/>
    <w:rsid w:val="00435B16"/>
    <w:rsid w:val="00454423"/>
    <w:rsid w:val="00462ECB"/>
    <w:rsid w:val="00470165"/>
    <w:rsid w:val="00472BFF"/>
    <w:rsid w:val="004752CC"/>
    <w:rsid w:val="004832DC"/>
    <w:rsid w:val="00484D43"/>
    <w:rsid w:val="004A254F"/>
    <w:rsid w:val="004B2814"/>
    <w:rsid w:val="004E38EF"/>
    <w:rsid w:val="004E4B94"/>
    <w:rsid w:val="00503C34"/>
    <w:rsid w:val="00522AAA"/>
    <w:rsid w:val="00531F4C"/>
    <w:rsid w:val="005455E7"/>
    <w:rsid w:val="00560A0F"/>
    <w:rsid w:val="005625C9"/>
    <w:rsid w:val="00573CAF"/>
    <w:rsid w:val="005863DC"/>
    <w:rsid w:val="00586EAB"/>
    <w:rsid w:val="005A13F9"/>
    <w:rsid w:val="005B5387"/>
    <w:rsid w:val="005C27B4"/>
    <w:rsid w:val="005C71E2"/>
    <w:rsid w:val="005E463A"/>
    <w:rsid w:val="005F0FD8"/>
    <w:rsid w:val="005F51EB"/>
    <w:rsid w:val="005F66B2"/>
    <w:rsid w:val="005F698D"/>
    <w:rsid w:val="006001D8"/>
    <w:rsid w:val="0060591A"/>
    <w:rsid w:val="00613011"/>
    <w:rsid w:val="00623572"/>
    <w:rsid w:val="006308A0"/>
    <w:rsid w:val="006309D8"/>
    <w:rsid w:val="00640255"/>
    <w:rsid w:val="0064622F"/>
    <w:rsid w:val="0065275C"/>
    <w:rsid w:val="006565BC"/>
    <w:rsid w:val="00657C9C"/>
    <w:rsid w:val="006818BA"/>
    <w:rsid w:val="00685475"/>
    <w:rsid w:val="0068707C"/>
    <w:rsid w:val="00693222"/>
    <w:rsid w:val="00695EC2"/>
    <w:rsid w:val="00696342"/>
    <w:rsid w:val="006A19F4"/>
    <w:rsid w:val="006A1E89"/>
    <w:rsid w:val="006C08F7"/>
    <w:rsid w:val="006C64D8"/>
    <w:rsid w:val="006C6696"/>
    <w:rsid w:val="006D6E68"/>
    <w:rsid w:val="006E06F0"/>
    <w:rsid w:val="006E2128"/>
    <w:rsid w:val="006E4A55"/>
    <w:rsid w:val="006E76FB"/>
    <w:rsid w:val="006F1C00"/>
    <w:rsid w:val="006F7B23"/>
    <w:rsid w:val="007059B8"/>
    <w:rsid w:val="007061FE"/>
    <w:rsid w:val="00721DDD"/>
    <w:rsid w:val="0072634B"/>
    <w:rsid w:val="00731EBF"/>
    <w:rsid w:val="00745272"/>
    <w:rsid w:val="00753027"/>
    <w:rsid w:val="00757541"/>
    <w:rsid w:val="007575C9"/>
    <w:rsid w:val="00761E69"/>
    <w:rsid w:val="0076705E"/>
    <w:rsid w:val="007678FE"/>
    <w:rsid w:val="00777948"/>
    <w:rsid w:val="00781286"/>
    <w:rsid w:val="00782F4B"/>
    <w:rsid w:val="00782F54"/>
    <w:rsid w:val="007932C8"/>
    <w:rsid w:val="007949BF"/>
    <w:rsid w:val="007A6AE6"/>
    <w:rsid w:val="007C09D6"/>
    <w:rsid w:val="007C4196"/>
    <w:rsid w:val="007D1418"/>
    <w:rsid w:val="007E64FD"/>
    <w:rsid w:val="007F2B50"/>
    <w:rsid w:val="00800BBD"/>
    <w:rsid w:val="0080166E"/>
    <w:rsid w:val="00802E85"/>
    <w:rsid w:val="00804E2E"/>
    <w:rsid w:val="00806DF6"/>
    <w:rsid w:val="0081112A"/>
    <w:rsid w:val="008269E4"/>
    <w:rsid w:val="0083116E"/>
    <w:rsid w:val="00831C38"/>
    <w:rsid w:val="00834233"/>
    <w:rsid w:val="0083783C"/>
    <w:rsid w:val="00841224"/>
    <w:rsid w:val="00852B62"/>
    <w:rsid w:val="00877C5A"/>
    <w:rsid w:val="00886BAB"/>
    <w:rsid w:val="00890255"/>
    <w:rsid w:val="0089123A"/>
    <w:rsid w:val="008B74A3"/>
    <w:rsid w:val="008C528C"/>
    <w:rsid w:val="008E7498"/>
    <w:rsid w:val="008F394C"/>
    <w:rsid w:val="00902DF6"/>
    <w:rsid w:val="00936193"/>
    <w:rsid w:val="0094124D"/>
    <w:rsid w:val="00942B98"/>
    <w:rsid w:val="00945609"/>
    <w:rsid w:val="009535A7"/>
    <w:rsid w:val="009654E3"/>
    <w:rsid w:val="0097407F"/>
    <w:rsid w:val="009775BE"/>
    <w:rsid w:val="00983242"/>
    <w:rsid w:val="009909FF"/>
    <w:rsid w:val="009948EF"/>
    <w:rsid w:val="00997ED1"/>
    <w:rsid w:val="009B1CC0"/>
    <w:rsid w:val="009B3C35"/>
    <w:rsid w:val="009D4AED"/>
    <w:rsid w:val="009D5EE0"/>
    <w:rsid w:val="009D7AE7"/>
    <w:rsid w:val="009E161B"/>
    <w:rsid w:val="009F4217"/>
    <w:rsid w:val="00A0064B"/>
    <w:rsid w:val="00A25AFF"/>
    <w:rsid w:val="00A27DC0"/>
    <w:rsid w:val="00A359BC"/>
    <w:rsid w:val="00A45285"/>
    <w:rsid w:val="00A60A2D"/>
    <w:rsid w:val="00A63076"/>
    <w:rsid w:val="00A63B20"/>
    <w:rsid w:val="00A70BD0"/>
    <w:rsid w:val="00A71C5E"/>
    <w:rsid w:val="00A877AA"/>
    <w:rsid w:val="00A91BD6"/>
    <w:rsid w:val="00A95C9D"/>
    <w:rsid w:val="00AA69DC"/>
    <w:rsid w:val="00AA6AD0"/>
    <w:rsid w:val="00AB0C24"/>
    <w:rsid w:val="00AB20D0"/>
    <w:rsid w:val="00AB471A"/>
    <w:rsid w:val="00AB6AE7"/>
    <w:rsid w:val="00AC2685"/>
    <w:rsid w:val="00AD100F"/>
    <w:rsid w:val="00AD7585"/>
    <w:rsid w:val="00AE33CB"/>
    <w:rsid w:val="00AF1771"/>
    <w:rsid w:val="00AF54AA"/>
    <w:rsid w:val="00B15933"/>
    <w:rsid w:val="00B31696"/>
    <w:rsid w:val="00B370B4"/>
    <w:rsid w:val="00B44C96"/>
    <w:rsid w:val="00B52039"/>
    <w:rsid w:val="00B52CDC"/>
    <w:rsid w:val="00B62FA2"/>
    <w:rsid w:val="00B64671"/>
    <w:rsid w:val="00B64809"/>
    <w:rsid w:val="00B71E4F"/>
    <w:rsid w:val="00B82A4A"/>
    <w:rsid w:val="00BA3BBC"/>
    <w:rsid w:val="00BC0231"/>
    <w:rsid w:val="00BC7EB9"/>
    <w:rsid w:val="00BD6AD6"/>
    <w:rsid w:val="00BF00D5"/>
    <w:rsid w:val="00BF233A"/>
    <w:rsid w:val="00C05630"/>
    <w:rsid w:val="00C135B5"/>
    <w:rsid w:val="00C209F0"/>
    <w:rsid w:val="00C20E62"/>
    <w:rsid w:val="00C33466"/>
    <w:rsid w:val="00C504C4"/>
    <w:rsid w:val="00C60215"/>
    <w:rsid w:val="00C7391B"/>
    <w:rsid w:val="00C818EA"/>
    <w:rsid w:val="00CB0925"/>
    <w:rsid w:val="00CB6BF3"/>
    <w:rsid w:val="00CB7766"/>
    <w:rsid w:val="00CC6AEA"/>
    <w:rsid w:val="00CE2FCC"/>
    <w:rsid w:val="00CE6FAA"/>
    <w:rsid w:val="00CF2EAD"/>
    <w:rsid w:val="00CF4B91"/>
    <w:rsid w:val="00CF4EB3"/>
    <w:rsid w:val="00D01A31"/>
    <w:rsid w:val="00D04C02"/>
    <w:rsid w:val="00D11696"/>
    <w:rsid w:val="00D262D4"/>
    <w:rsid w:val="00D31509"/>
    <w:rsid w:val="00D31661"/>
    <w:rsid w:val="00D3409A"/>
    <w:rsid w:val="00D41D72"/>
    <w:rsid w:val="00D56E36"/>
    <w:rsid w:val="00D62752"/>
    <w:rsid w:val="00D6307F"/>
    <w:rsid w:val="00D63A1C"/>
    <w:rsid w:val="00D72130"/>
    <w:rsid w:val="00D72407"/>
    <w:rsid w:val="00D7424D"/>
    <w:rsid w:val="00D76AED"/>
    <w:rsid w:val="00D8373F"/>
    <w:rsid w:val="00D9062C"/>
    <w:rsid w:val="00D940DE"/>
    <w:rsid w:val="00D9710E"/>
    <w:rsid w:val="00DA2459"/>
    <w:rsid w:val="00DA270C"/>
    <w:rsid w:val="00DA3B09"/>
    <w:rsid w:val="00DB0FCF"/>
    <w:rsid w:val="00DB3C01"/>
    <w:rsid w:val="00DB41B6"/>
    <w:rsid w:val="00DC4107"/>
    <w:rsid w:val="00DC5181"/>
    <w:rsid w:val="00DE5EBB"/>
    <w:rsid w:val="00DF036C"/>
    <w:rsid w:val="00E033C1"/>
    <w:rsid w:val="00E131B4"/>
    <w:rsid w:val="00E15440"/>
    <w:rsid w:val="00E2185F"/>
    <w:rsid w:val="00E24A47"/>
    <w:rsid w:val="00E30830"/>
    <w:rsid w:val="00E30BAA"/>
    <w:rsid w:val="00E327C9"/>
    <w:rsid w:val="00E33DCD"/>
    <w:rsid w:val="00E33DFA"/>
    <w:rsid w:val="00E36B92"/>
    <w:rsid w:val="00E47EEF"/>
    <w:rsid w:val="00E55CCC"/>
    <w:rsid w:val="00E57272"/>
    <w:rsid w:val="00E729AE"/>
    <w:rsid w:val="00E83B52"/>
    <w:rsid w:val="00E94FB8"/>
    <w:rsid w:val="00EC5BB9"/>
    <w:rsid w:val="00ED139A"/>
    <w:rsid w:val="00ED7070"/>
    <w:rsid w:val="00ED7DA3"/>
    <w:rsid w:val="00EE358E"/>
    <w:rsid w:val="00EE3B59"/>
    <w:rsid w:val="00EE51CF"/>
    <w:rsid w:val="00EE6B64"/>
    <w:rsid w:val="00EF3752"/>
    <w:rsid w:val="00F03254"/>
    <w:rsid w:val="00F121F7"/>
    <w:rsid w:val="00F1783E"/>
    <w:rsid w:val="00F2053A"/>
    <w:rsid w:val="00F22DD1"/>
    <w:rsid w:val="00F47BD5"/>
    <w:rsid w:val="00F56C4C"/>
    <w:rsid w:val="00F63884"/>
    <w:rsid w:val="00F76B95"/>
    <w:rsid w:val="00FA5B75"/>
    <w:rsid w:val="00FA5F0C"/>
    <w:rsid w:val="00FB21D9"/>
    <w:rsid w:val="00FB7972"/>
    <w:rsid w:val="00FC0B53"/>
    <w:rsid w:val="00FC4C89"/>
    <w:rsid w:val="00FD73EF"/>
    <w:rsid w:val="00FE2F2F"/>
    <w:rsid w:val="00FF6D28"/>
    <w:rsid w:val="00FF715F"/>
    <w:rsid w:val="0354636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3"/>
    <w:uiPriority w:val="99"/>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customStyle="1" w:styleId="9">
    <w:name w:val="apple-converted-space"/>
    <w:basedOn w:val="7"/>
    <w:uiPriority w:val="0"/>
  </w:style>
  <w:style w:type="paragraph" w:customStyle="1" w:styleId="10">
    <w:name w:val="p"/>
    <w:basedOn w:val="1"/>
    <w:uiPriority w:val="0"/>
    <w:pPr>
      <w:widowControl/>
      <w:spacing w:before="100" w:beforeAutospacing="1" w:after="100" w:afterAutospacing="1"/>
      <w:jc w:val="left"/>
    </w:pPr>
    <w:rPr>
      <w:rFonts w:ascii="宋体" w:hAnsi="宋体" w:cs="宋体"/>
      <w:kern w:val="0"/>
      <w:sz w:val="24"/>
    </w:rPr>
  </w:style>
  <w:style w:type="character" w:customStyle="1" w:styleId="11">
    <w:name w:val="15"/>
    <w:basedOn w:val="7"/>
    <w:uiPriority w:val="0"/>
  </w:style>
  <w:style w:type="character" w:customStyle="1" w:styleId="12">
    <w:name w:val="页眉 Char"/>
    <w:basedOn w:val="7"/>
    <w:link w:val="4"/>
    <w:uiPriority w:val="0"/>
    <w:rPr>
      <w:kern w:val="2"/>
      <w:sz w:val="18"/>
      <w:szCs w:val="18"/>
    </w:rPr>
  </w:style>
  <w:style w:type="character" w:customStyle="1" w:styleId="13">
    <w:name w:val="页脚 Char"/>
    <w:basedOn w:val="7"/>
    <w:link w:val="3"/>
    <w:uiPriority w:val="99"/>
    <w:rPr>
      <w:kern w:val="2"/>
      <w:sz w:val="18"/>
      <w:szCs w:val="18"/>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18</Pages>
  <Words>1485</Words>
  <Characters>8469</Characters>
  <Lines>70</Lines>
  <Paragraphs>19</Paragraphs>
  <TotalTime>1111</TotalTime>
  <ScaleCrop>false</ScaleCrop>
  <LinksUpToDate>false</LinksUpToDate>
  <CharactersWithSpaces>9935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2022-07-07T03:47:00Z</dcterms:created>
  <dc:creator>User</dc:creator>
  <cp:lastModifiedBy>孙泽宇</cp:lastModifiedBy>
  <cp:lastPrinted>2023-04-20T03:29:00Z</cp:lastPrinted>
  <dcterms:modified xsi:type="dcterms:W3CDTF">2023-11-09T03:04:26Z</dcterms:modified>
  <dc:title>2016年度市政府金融办整体支出绩效评价报告</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1217C837EEA344EA8C2F344ED5778D36_13</vt:lpwstr>
  </property>
</Properties>
</file>