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480"/>
        <w:jc w:val="center"/>
        <w:rPr>
          <w:rFonts w:cs="宋体" w:asciiTheme="majorEastAsia" w:hAnsiTheme="majorEastAsia" w:eastAsiaTheme="majorEastAsia"/>
          <w:b/>
          <w:color w:val="000000" w:themeColor="text1"/>
          <w:kern w:val="0"/>
          <w:sz w:val="44"/>
          <w:szCs w:val="44"/>
        </w:rPr>
      </w:pPr>
      <w:bookmarkStart w:id="0" w:name="_GoBack"/>
      <w:bookmarkEnd w:id="0"/>
      <w:r>
        <w:rPr>
          <w:rFonts w:hint="eastAsia" w:cs="宋体" w:asciiTheme="majorEastAsia" w:hAnsiTheme="majorEastAsia" w:eastAsiaTheme="majorEastAsia"/>
          <w:b/>
          <w:color w:val="000000" w:themeColor="text1"/>
          <w:kern w:val="0"/>
          <w:sz w:val="44"/>
          <w:szCs w:val="44"/>
        </w:rPr>
        <w:t>沅江市路灯灯饰服务中心2022年度绩效评价报告</w:t>
      </w:r>
    </w:p>
    <w:p>
      <w:pPr>
        <w:widowControl/>
        <w:spacing w:line="520" w:lineRule="exact"/>
        <w:ind w:firstLine="480"/>
        <w:rPr>
          <w:rFonts w:ascii="仿宋" w:hAnsi="仿宋" w:eastAsia="仿宋" w:cs="宋体"/>
          <w:color w:val="000000" w:themeColor="text1"/>
          <w:kern w:val="0"/>
          <w:sz w:val="32"/>
          <w:szCs w:val="32"/>
        </w:rPr>
      </w:pPr>
      <w:r>
        <w:rPr>
          <w:rFonts w:hint="eastAsia" w:ascii="宋体" w:hAnsi="宋体" w:eastAsia="仿宋" w:cs="宋体"/>
          <w:color w:val="000000" w:themeColor="text1"/>
          <w:kern w:val="0"/>
          <w:sz w:val="32"/>
          <w:szCs w:val="32"/>
        </w:rPr>
        <w:t> </w:t>
      </w:r>
    </w:p>
    <w:p>
      <w:pPr>
        <w:widowControl/>
        <w:spacing w:line="520" w:lineRule="exact"/>
        <w:ind w:firstLine="640" w:firstLineChars="20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为进一步规范财政资金管理，牢固树立预算绩效理念，强化部门支出责任，提高财政资金使用效益，根据《沅江市财政局关于做好2022年度预算绩效自评工作的通知》，结合上级工作安排等文件精神，现将绩效自评情况报告如下：</w:t>
      </w:r>
    </w:p>
    <w:p>
      <w:pPr>
        <w:widowControl/>
        <w:spacing w:line="520" w:lineRule="exact"/>
        <w:ind w:firstLine="709"/>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一、部门基本情况</w:t>
      </w:r>
    </w:p>
    <w:p>
      <w:pPr>
        <w:widowControl/>
        <w:spacing w:line="520" w:lineRule="exact"/>
        <w:ind w:firstLine="709"/>
        <w:rPr>
          <w:rFonts w:ascii="仿宋" w:hAnsi="仿宋" w:eastAsia="仿宋" w:cs="宋体"/>
          <w:b/>
          <w:bCs/>
          <w:color w:val="000000" w:themeColor="text1"/>
          <w:kern w:val="0"/>
          <w:sz w:val="32"/>
          <w:szCs w:val="32"/>
        </w:rPr>
      </w:pPr>
      <w:r>
        <w:rPr>
          <w:rFonts w:hint="eastAsia" w:ascii="仿宋" w:hAnsi="仿宋" w:eastAsia="仿宋" w:cs="宋体"/>
          <w:b/>
          <w:bCs/>
          <w:color w:val="000000" w:themeColor="text1"/>
          <w:kern w:val="0"/>
          <w:sz w:val="32"/>
          <w:szCs w:val="32"/>
        </w:rPr>
        <w:t>（一）职能、机构设置及人员情况</w:t>
      </w:r>
    </w:p>
    <w:p>
      <w:pPr>
        <w:widowControl/>
        <w:spacing w:line="520" w:lineRule="exact"/>
        <w:ind w:firstLine="709"/>
        <w:rPr>
          <w:rFonts w:ascii="仿宋" w:hAnsi="仿宋" w:eastAsia="仿宋"/>
          <w:color w:val="000000" w:themeColor="text1"/>
          <w:sz w:val="32"/>
          <w:szCs w:val="32"/>
        </w:rPr>
      </w:pPr>
      <w:r>
        <w:rPr>
          <w:rFonts w:hint="eastAsia" w:ascii="仿宋" w:hAnsi="仿宋" w:eastAsia="仿宋"/>
          <w:color w:val="000000" w:themeColor="text1"/>
          <w:sz w:val="32"/>
          <w:szCs w:val="32"/>
        </w:rPr>
        <w:t>沅江市路灯灯饰服务中心系城市管理行政执法局下属全额拨款性质的独立核算二级机构事业单位。现有干职工22人（其中退休3人，在职19人），内设办公室、业务股、巡查室、三个股室。</w:t>
      </w:r>
    </w:p>
    <w:p>
      <w:pPr>
        <w:widowControl/>
        <w:spacing w:line="520" w:lineRule="exact"/>
        <w:ind w:firstLine="709"/>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（二）工作职责</w:t>
      </w:r>
    </w:p>
    <w:p>
      <w:pPr>
        <w:widowControl/>
        <w:spacing w:line="520" w:lineRule="exact"/>
        <w:ind w:firstLine="709"/>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我中心为公益性全额拨款事业单位，主要负责城区路灯灯饰的维修、维护与管理。</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二、部门整体支出管理及使用情况</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（一）基本支出的管理和使用情况</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1、基本支出的主要用途范围及资金的管理情况</w:t>
      </w:r>
    </w:p>
    <w:p>
      <w:pPr>
        <w:widowControl/>
        <w:shd w:val="clear" w:color="auto" w:fill="FFFFFF"/>
        <w:spacing w:line="520" w:lineRule="exact"/>
        <w:ind w:firstLine="640"/>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2022年度基本支出177.24万元。其中:工资福利支出 158.24万元，主要用于基本工资、津贴补贴、奖金、伙食补助、绩效工资、社会保障缴费、离休费、退休费、抚恤金、住房公积金等支出；商品和服务支出19万元，主要用于办公费、印刷费、水电费、差旅费、会议费、培训费、公务接待费、工会经费等支出。</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2、年初总预算收支情况</w:t>
      </w:r>
    </w:p>
    <w:p>
      <w:pPr>
        <w:widowControl/>
        <w:shd w:val="clear" w:color="auto" w:fill="FFFFFF"/>
        <w:spacing w:line="520" w:lineRule="exact"/>
        <w:ind w:firstLine="640"/>
        <w:rPr>
          <w:rFonts w:ascii="Calibri" w:hAnsi="Calibri" w:eastAsia="宋体" w:cs="Calibri"/>
          <w:color w:val="000000" w:themeColor="text1"/>
          <w:kern w:val="0"/>
          <w:szCs w:val="21"/>
        </w:rPr>
      </w:pPr>
      <w:r>
        <w:rPr>
          <w:rFonts w:hint="eastAsia" w:ascii="仿宋" w:hAnsi="仿宋" w:eastAsia="仿宋" w:cs="Calibri"/>
          <w:color w:val="000000" w:themeColor="text1"/>
          <w:kern w:val="0"/>
          <w:sz w:val="32"/>
          <w:szCs w:val="32"/>
        </w:rPr>
        <w:t>2022年度部门预算数为407.24万元，其中:基本支出177.24万元，项目支出230万元（工程车运行维护费10万，电子卡口电费50万，红绿灯电费30万，环湖景观维修维护90万，环湖景观电费50万）。</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3、本年财政拨款预算追加及年度可用财政拨款预算指标情况</w:t>
      </w:r>
    </w:p>
    <w:p>
      <w:pPr>
        <w:widowControl/>
        <w:shd w:val="clear" w:color="auto" w:fill="FFFFFF"/>
        <w:spacing w:line="520" w:lineRule="exact"/>
        <w:ind w:firstLine="640"/>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2022年度实际收到的一般预算财政拨款收入为307.24万元，政府性基金收入为100万元；与年初预算安排数相符。</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4、年度预算收入决算情况</w:t>
      </w:r>
    </w:p>
    <w:p>
      <w:pPr>
        <w:widowControl/>
        <w:shd w:val="clear" w:color="auto" w:fill="FFFFFF"/>
        <w:spacing w:line="520" w:lineRule="exact"/>
        <w:ind w:firstLine="640"/>
        <w:rPr>
          <w:rFonts w:ascii="Calibri" w:hAnsi="Calibri" w:eastAsia="宋体" w:cs="Calibri"/>
          <w:color w:val="000000" w:themeColor="text1"/>
          <w:kern w:val="0"/>
          <w:szCs w:val="21"/>
        </w:rPr>
      </w:pPr>
      <w:r>
        <w:rPr>
          <w:rFonts w:hint="eastAsia" w:ascii="仿宋" w:hAnsi="仿宋" w:eastAsia="仿宋" w:cs="Calibri"/>
          <w:color w:val="000000" w:themeColor="text1"/>
          <w:kern w:val="0"/>
          <w:sz w:val="32"/>
          <w:szCs w:val="32"/>
        </w:rPr>
        <w:t xml:space="preserve">2022年度收入合计535.72万元，其中：财政拨款收入350万元，政府性基金收入92.25万元，事业收入93.46万元。 </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5、年度预算支出决算及结余情况</w:t>
      </w:r>
    </w:p>
    <w:p>
      <w:pPr>
        <w:widowControl/>
        <w:shd w:val="clear" w:color="auto" w:fill="FFFFFF"/>
        <w:spacing w:line="520" w:lineRule="exact"/>
        <w:ind w:firstLine="640"/>
        <w:rPr>
          <w:rFonts w:ascii="Calibri" w:hAnsi="Calibri" w:eastAsia="宋体" w:cs="Calibri"/>
          <w:color w:val="000000" w:themeColor="text1"/>
          <w:kern w:val="0"/>
          <w:szCs w:val="21"/>
        </w:rPr>
      </w:pPr>
      <w:r>
        <w:rPr>
          <w:rFonts w:hint="eastAsia" w:ascii="仿宋" w:hAnsi="仿宋" w:eastAsia="仿宋" w:cs="Calibri"/>
          <w:color w:val="000000" w:themeColor="text1"/>
          <w:kern w:val="0"/>
          <w:sz w:val="32"/>
          <w:szCs w:val="32"/>
        </w:rPr>
        <w:t>2022年度一般预算财政拨款收入307.24万元，政府性基金收入100万元，上级补助收入0万元。支出537.9万元，上年结余15.49万元，本年结余0万元。</w:t>
      </w:r>
    </w:p>
    <w:p>
      <w:pPr>
        <w:widowControl/>
        <w:shd w:val="clear" w:color="auto" w:fill="FFFFFF"/>
        <w:spacing w:line="520" w:lineRule="exact"/>
        <w:ind w:firstLine="640"/>
        <w:rPr>
          <w:rFonts w:ascii="Calibri" w:hAnsi="Calibri" w:eastAsia="宋体" w:cs="Calibri"/>
          <w:b/>
          <w:color w:val="000000" w:themeColor="text1"/>
          <w:kern w:val="0"/>
          <w:szCs w:val="21"/>
        </w:rPr>
      </w:pPr>
      <w:r>
        <w:rPr>
          <w:rFonts w:hint="eastAsia" w:ascii="仿宋" w:hAnsi="仿宋" w:eastAsia="仿宋" w:cs="Calibri"/>
          <w:b/>
          <w:color w:val="000000" w:themeColor="text1"/>
          <w:kern w:val="0"/>
          <w:sz w:val="32"/>
          <w:szCs w:val="32"/>
        </w:rPr>
        <w:t>6、“三公经费”情况</w:t>
      </w:r>
    </w:p>
    <w:p>
      <w:pPr>
        <w:widowControl/>
        <w:shd w:val="clear" w:color="auto" w:fill="FFFFFF"/>
        <w:spacing w:line="520" w:lineRule="exact"/>
        <w:ind w:firstLine="640"/>
        <w:rPr>
          <w:rFonts w:ascii="Calibri" w:hAnsi="Calibri" w:eastAsia="宋体" w:cs="Calibri"/>
          <w:color w:val="000000" w:themeColor="text1"/>
          <w:kern w:val="0"/>
          <w:szCs w:val="21"/>
        </w:rPr>
      </w:pPr>
      <w:r>
        <w:rPr>
          <w:rFonts w:hint="eastAsia" w:ascii="仿宋" w:hAnsi="仿宋" w:eastAsia="仿宋" w:cs="Calibri"/>
          <w:color w:val="000000" w:themeColor="text1"/>
          <w:kern w:val="0"/>
          <w:sz w:val="32"/>
          <w:szCs w:val="32"/>
        </w:rPr>
        <w:t>2022年度三公经费预算支出10万元。其中，公务接待预算支出0.3万元。公务用车购置及运行维护费10万元。决算支出9.4万元（公务接待费0万元），公务用车运行维护费9.4万元。</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（二）专项支出的管理和使用情况</w:t>
      </w:r>
    </w:p>
    <w:p>
      <w:pPr>
        <w:shd w:val="clear" w:color="auto" w:fill="FFFFFF"/>
        <w:spacing w:line="520" w:lineRule="exact"/>
        <w:ind w:firstLine="643"/>
        <w:rPr>
          <w:rFonts w:ascii="仿宋" w:hAnsi="仿宋" w:eastAsia="仿宋" w:cs="宋体"/>
          <w:color w:val="000000" w:themeColor="text1"/>
          <w:kern w:val="0"/>
          <w:sz w:val="32"/>
          <w:szCs w:val="32"/>
        </w:rPr>
      </w:pPr>
      <w:r>
        <w:rPr>
          <w:rFonts w:hint="eastAsia" w:ascii="仿宋" w:hAnsi="仿宋" w:eastAsia="仿宋" w:cs="宋体"/>
          <w:b/>
          <w:bCs/>
          <w:color w:val="000000" w:themeColor="text1"/>
          <w:kern w:val="0"/>
          <w:sz w:val="32"/>
          <w:szCs w:val="32"/>
        </w:rPr>
        <w:t>1、专项资金安排落实、总投入等情况分析</w:t>
      </w:r>
    </w:p>
    <w:p>
      <w:pPr>
        <w:spacing w:line="520" w:lineRule="exact"/>
        <w:ind w:firstLine="640" w:firstLineChars="200"/>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我中心2022年初预算专项资金230元，其中：</w:t>
      </w:r>
    </w:p>
    <w:p>
      <w:pPr>
        <w:pStyle w:val="6"/>
        <w:numPr>
          <w:ilvl w:val="0"/>
          <w:numId w:val="1"/>
        </w:numPr>
        <w:spacing w:line="520" w:lineRule="exact"/>
        <w:ind w:firstLineChars="0"/>
        <w:jc w:val="left"/>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、环湖景观维修维护90万</w:t>
      </w:r>
    </w:p>
    <w:p>
      <w:pPr>
        <w:spacing w:line="520" w:lineRule="exact"/>
        <w:ind w:firstLine="640" w:firstLineChars="200"/>
        <w:jc w:val="left"/>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b)</w:t>
      </w:r>
      <w:r>
        <w:rPr>
          <w:rFonts w:hint="eastAsia" w:ascii="仿宋" w:hAnsi="仿宋" w:eastAsia="仿宋" w:cs="Calibri"/>
          <w:color w:val="000000" w:themeColor="text1"/>
          <w:kern w:val="0"/>
          <w:sz w:val="32"/>
          <w:szCs w:val="32"/>
        </w:rPr>
        <w:t>、工程车运行维护费一般公共预算拨款10万。</w:t>
      </w:r>
    </w:p>
    <w:p>
      <w:pPr>
        <w:spacing w:line="520" w:lineRule="exact"/>
        <w:ind w:firstLine="640" w:firstLineChars="200"/>
        <w:jc w:val="left"/>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c)、电子卡口电费政府性基金拨款50万元。</w:t>
      </w:r>
    </w:p>
    <w:p>
      <w:pPr>
        <w:spacing w:line="520" w:lineRule="exact"/>
        <w:ind w:firstLine="640" w:firstLineChars="200"/>
        <w:jc w:val="left"/>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d)、红绿灯电费一般公共预算拨款30万元。</w:t>
      </w:r>
    </w:p>
    <w:p>
      <w:pPr>
        <w:spacing w:line="520" w:lineRule="exact"/>
        <w:ind w:firstLine="640" w:firstLineChars="200"/>
        <w:jc w:val="left"/>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e)、环湖景观亮化电费政府性基金拨款50万</w:t>
      </w:r>
    </w:p>
    <w:p>
      <w:pPr>
        <w:shd w:val="clear" w:color="auto" w:fill="FFFFFF"/>
        <w:spacing w:line="520" w:lineRule="exact"/>
        <w:ind w:firstLine="643"/>
        <w:rPr>
          <w:rFonts w:ascii="仿宋" w:hAnsi="仿宋" w:eastAsia="仿宋" w:cs="宋体"/>
          <w:color w:val="000000" w:themeColor="text1"/>
          <w:kern w:val="0"/>
          <w:sz w:val="32"/>
          <w:szCs w:val="32"/>
        </w:rPr>
      </w:pPr>
      <w:r>
        <w:rPr>
          <w:rFonts w:hint="eastAsia" w:ascii="仿宋" w:hAnsi="仿宋" w:eastAsia="仿宋" w:cs="宋体"/>
          <w:b/>
          <w:bCs/>
          <w:color w:val="000000" w:themeColor="text1"/>
          <w:kern w:val="0"/>
          <w:sz w:val="32"/>
          <w:szCs w:val="32"/>
        </w:rPr>
        <w:t>2、专项资金实际使用情况分析</w:t>
      </w:r>
    </w:p>
    <w:p>
      <w:pPr>
        <w:spacing w:line="520" w:lineRule="exact"/>
        <w:ind w:firstLine="640" w:firstLineChars="200"/>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我中心2022年实际专项资金支出项目支出共计230万元，其中红绿灯电费支出、环湖景观亮化维护、路灯工程车</w:t>
      </w:r>
      <w:r>
        <w:rPr>
          <w:rFonts w:hint="eastAsia" w:ascii="仿宋" w:hAnsi="仿宋" w:eastAsia="仿宋" w:cs="Calibri"/>
          <w:color w:val="000000" w:themeColor="text1"/>
          <w:kern w:val="0"/>
          <w:sz w:val="32"/>
          <w:szCs w:val="32"/>
        </w:rPr>
        <w:t>一般公共预算拨款</w:t>
      </w:r>
      <w:r>
        <w:rPr>
          <w:rFonts w:hint="eastAsia" w:ascii="仿宋" w:hAnsi="仿宋" w:eastAsia="仿宋" w:cs="宋体"/>
          <w:color w:val="000000" w:themeColor="text1"/>
          <w:kern w:val="0"/>
          <w:sz w:val="32"/>
          <w:szCs w:val="32"/>
        </w:rPr>
        <w:t>支出130万元；电子卡口电费、环湖景观亮化电费政府性基金支出100万元。</w:t>
      </w:r>
    </w:p>
    <w:p>
      <w:pPr>
        <w:shd w:val="clear" w:color="auto" w:fill="FFFFFF"/>
        <w:spacing w:line="520" w:lineRule="exact"/>
        <w:ind w:firstLine="643"/>
        <w:rPr>
          <w:rFonts w:ascii="仿宋" w:hAnsi="仿宋" w:eastAsia="仿宋" w:cs="宋体"/>
          <w:color w:val="000000" w:themeColor="text1"/>
          <w:kern w:val="0"/>
          <w:sz w:val="32"/>
          <w:szCs w:val="32"/>
        </w:rPr>
      </w:pPr>
      <w:r>
        <w:rPr>
          <w:rFonts w:hint="eastAsia" w:ascii="仿宋" w:hAnsi="仿宋" w:eastAsia="仿宋" w:cs="宋体"/>
          <w:b/>
          <w:bCs/>
          <w:color w:val="000000" w:themeColor="text1"/>
          <w:kern w:val="0"/>
          <w:sz w:val="32"/>
          <w:szCs w:val="32"/>
        </w:rPr>
        <w:t>3、专项资金管理情况分析</w:t>
      </w:r>
    </w:p>
    <w:p>
      <w:pPr>
        <w:shd w:val="clear" w:color="auto" w:fill="FFFFFF"/>
        <w:spacing w:line="520" w:lineRule="exact"/>
        <w:ind w:firstLine="640"/>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widowControl/>
        <w:shd w:val="clear" w:color="auto" w:fill="FFFFFF"/>
        <w:spacing w:line="520" w:lineRule="exact"/>
        <w:ind w:firstLine="643" w:firstLineChars="200"/>
        <w:rPr>
          <w:rFonts w:ascii="仿宋" w:hAnsi="仿宋" w:eastAsia="仿宋" w:cs="Arial"/>
          <w:color w:val="000000" w:themeColor="text1"/>
          <w:kern w:val="0"/>
          <w:sz w:val="32"/>
          <w:szCs w:val="32"/>
        </w:rPr>
      </w:pPr>
      <w:r>
        <w:rPr>
          <w:rFonts w:hint="eastAsia" w:ascii="仿宋" w:hAnsi="仿宋" w:eastAsia="仿宋" w:cs="Arial"/>
          <w:b/>
          <w:bCs/>
          <w:color w:val="000000" w:themeColor="text1"/>
          <w:kern w:val="0"/>
          <w:sz w:val="32"/>
          <w:szCs w:val="32"/>
        </w:rPr>
        <w:t>三、部门（单位）专项组织实施情况</w:t>
      </w:r>
    </w:p>
    <w:p>
      <w:pPr>
        <w:widowControl/>
        <w:shd w:val="clear" w:color="auto" w:fill="FFFFFF"/>
        <w:spacing w:line="520" w:lineRule="exact"/>
        <w:ind w:firstLine="643" w:firstLineChars="200"/>
        <w:rPr>
          <w:rFonts w:ascii="仿宋" w:hAnsi="仿宋" w:eastAsia="仿宋" w:cs="Arial"/>
          <w:color w:val="000000" w:themeColor="text1"/>
          <w:kern w:val="0"/>
          <w:sz w:val="32"/>
          <w:szCs w:val="32"/>
        </w:rPr>
      </w:pPr>
      <w:r>
        <w:rPr>
          <w:rFonts w:hint="eastAsia" w:ascii="仿宋" w:hAnsi="仿宋" w:eastAsia="仿宋" w:cs="Arial"/>
          <w:b/>
          <w:bCs/>
          <w:color w:val="000000" w:themeColor="text1"/>
          <w:kern w:val="0"/>
          <w:sz w:val="32"/>
          <w:szCs w:val="32"/>
        </w:rPr>
        <w:t>（一）专项组织情况分析</w:t>
      </w:r>
    </w:p>
    <w:p>
      <w:pPr>
        <w:widowControl/>
        <w:shd w:val="clear" w:color="auto" w:fill="FFFFFF"/>
        <w:spacing w:line="520" w:lineRule="exact"/>
        <w:ind w:firstLine="640" w:firstLineChars="200"/>
        <w:rPr>
          <w:rFonts w:ascii="仿宋" w:hAnsi="仿宋" w:eastAsia="仿宋" w:cs="Arial"/>
          <w:color w:val="000000" w:themeColor="text1"/>
          <w:kern w:val="0"/>
          <w:sz w:val="32"/>
          <w:szCs w:val="32"/>
        </w:rPr>
      </w:pPr>
      <w:r>
        <w:rPr>
          <w:rFonts w:hint="eastAsia" w:ascii="仿宋" w:hAnsi="仿宋" w:eastAsia="仿宋" w:cs="Arial"/>
          <w:color w:val="000000" w:themeColor="text1"/>
          <w:kern w:val="0"/>
          <w:sz w:val="32"/>
          <w:szCs w:val="32"/>
        </w:rPr>
        <w:t>各项专项资金都安排责任人，按专项资金的用途专款专用。</w:t>
      </w:r>
    </w:p>
    <w:p>
      <w:pPr>
        <w:widowControl/>
        <w:shd w:val="clear" w:color="auto" w:fill="FFFFFF"/>
        <w:spacing w:line="520" w:lineRule="exact"/>
        <w:ind w:firstLine="643" w:firstLineChars="200"/>
        <w:rPr>
          <w:rFonts w:ascii="仿宋" w:hAnsi="仿宋" w:eastAsia="仿宋" w:cs="Arial"/>
          <w:color w:val="000000" w:themeColor="text1"/>
          <w:kern w:val="0"/>
          <w:sz w:val="32"/>
          <w:szCs w:val="32"/>
        </w:rPr>
      </w:pPr>
      <w:r>
        <w:rPr>
          <w:rFonts w:hint="eastAsia" w:ascii="仿宋" w:hAnsi="仿宋" w:eastAsia="仿宋" w:cs="Arial"/>
          <w:b/>
          <w:bCs/>
          <w:color w:val="000000" w:themeColor="text1"/>
          <w:kern w:val="0"/>
          <w:sz w:val="32"/>
          <w:szCs w:val="32"/>
        </w:rPr>
        <w:t>（二）专项管理情况分析</w:t>
      </w:r>
    </w:p>
    <w:p>
      <w:pPr>
        <w:widowControl/>
        <w:shd w:val="clear" w:color="auto" w:fill="FFFFFF"/>
        <w:spacing w:line="520" w:lineRule="exact"/>
        <w:ind w:firstLine="640" w:firstLineChars="200"/>
        <w:rPr>
          <w:rFonts w:ascii="仿宋" w:hAnsi="仿宋" w:eastAsia="仿宋" w:cs="Arial"/>
          <w:color w:val="000000" w:themeColor="text1"/>
          <w:kern w:val="0"/>
          <w:sz w:val="32"/>
          <w:szCs w:val="32"/>
        </w:rPr>
      </w:pPr>
      <w:r>
        <w:rPr>
          <w:rFonts w:hint="eastAsia" w:ascii="仿宋" w:hAnsi="仿宋" w:eastAsia="仿宋" w:cs="Arial"/>
          <w:color w:val="000000" w:themeColor="text1"/>
          <w:kern w:val="0"/>
          <w:sz w:val="32"/>
          <w:szCs w:val="32"/>
        </w:rPr>
        <w:t>在使用专项资金时，严格执行专项资使用制度和财务制度，同时对各项专项资金的使用流程进行监督，定时查看财务表报检查专项资金使用情况。</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四、存在的主要问题及有关建议</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（一）存在的问题</w:t>
      </w:r>
    </w:p>
    <w:p>
      <w:pPr>
        <w:widowControl/>
        <w:shd w:val="clear" w:color="auto" w:fill="FFFFFF"/>
        <w:spacing w:line="520" w:lineRule="exact"/>
        <w:ind w:firstLine="800" w:firstLineChars="250"/>
        <w:rPr>
          <w:rFonts w:ascii="仿宋" w:hAnsi="仿宋" w:eastAsia="仿宋" w:cs="Calibri"/>
          <w:color w:val="000000" w:themeColor="text1"/>
          <w:kern w:val="0"/>
          <w:szCs w:val="21"/>
        </w:rPr>
      </w:pPr>
      <w:r>
        <w:rPr>
          <w:rFonts w:hint="eastAsia" w:ascii="仿宋" w:hAnsi="仿宋" w:eastAsia="仿宋" w:cs="Calibri"/>
          <w:color w:val="000000" w:themeColor="text1"/>
          <w:kern w:val="0"/>
          <w:sz w:val="32"/>
          <w:szCs w:val="32"/>
        </w:rPr>
        <w:t>1、编制有待更严格执行。预算编制与实际支出项目有的仍存在细微差异。</w:t>
      </w:r>
    </w:p>
    <w:p>
      <w:pPr>
        <w:widowControl/>
        <w:shd w:val="clear" w:color="auto" w:fill="FFFFFF"/>
        <w:spacing w:line="520" w:lineRule="exact"/>
        <w:ind w:firstLine="752" w:firstLineChars="235"/>
        <w:jc w:val="left"/>
        <w:rPr>
          <w:rFonts w:ascii="仿宋" w:hAnsi="仿宋" w:eastAsia="仿宋" w:cs="Calibri"/>
          <w:color w:val="000000" w:themeColor="text1"/>
          <w:kern w:val="0"/>
          <w:sz w:val="32"/>
          <w:szCs w:val="32"/>
        </w:rPr>
      </w:pPr>
      <w:r>
        <w:rPr>
          <w:rFonts w:hint="eastAsia" w:ascii="仿宋" w:hAnsi="仿宋" w:eastAsia="仿宋" w:cs="Calibri"/>
          <w:color w:val="000000" w:themeColor="text1"/>
          <w:kern w:val="0"/>
          <w:sz w:val="32"/>
          <w:szCs w:val="32"/>
        </w:rPr>
        <w:t>2、固定资产管理有待加强。部分固定资产折损，未及时进行清理。</w:t>
      </w:r>
    </w:p>
    <w:p>
      <w:pPr>
        <w:widowControl/>
        <w:shd w:val="clear" w:color="auto" w:fill="FFFFFF"/>
        <w:spacing w:line="520" w:lineRule="exact"/>
        <w:ind w:firstLine="752" w:firstLineChars="235"/>
        <w:jc w:val="left"/>
        <w:rPr>
          <w:rFonts w:ascii="仿宋" w:hAnsi="仿宋" w:eastAsia="仿宋" w:cs="宋体"/>
          <w:color w:val="000000" w:themeColor="text1"/>
          <w:kern w:val="0"/>
          <w:sz w:val="24"/>
          <w:szCs w:val="24"/>
        </w:rPr>
      </w:pPr>
      <w:r>
        <w:rPr>
          <w:rFonts w:hint="eastAsia" w:ascii="仿宋" w:hAnsi="仿宋" w:eastAsia="仿宋" w:cs="宋体"/>
          <w:color w:val="000000" w:themeColor="text1"/>
          <w:sz w:val="32"/>
          <w:szCs w:val="32"/>
        </w:rPr>
        <w:t>3、绩效目标设立不够明确、细化和量化。</w:t>
      </w:r>
    </w:p>
    <w:p>
      <w:pPr>
        <w:widowControl/>
        <w:shd w:val="clear" w:color="auto" w:fill="FFFFFF"/>
        <w:spacing w:line="520" w:lineRule="exact"/>
        <w:ind w:firstLine="640"/>
        <w:rPr>
          <w:rFonts w:ascii="仿宋" w:hAnsi="仿宋" w:eastAsia="仿宋" w:cs="Calibri"/>
          <w:b/>
          <w:color w:val="000000" w:themeColor="text1"/>
          <w:kern w:val="0"/>
          <w:szCs w:val="21"/>
        </w:rPr>
      </w:pPr>
      <w:r>
        <w:rPr>
          <w:rFonts w:hint="eastAsia" w:ascii="仿宋" w:hAnsi="仿宋" w:eastAsia="仿宋" w:cs="Calibri"/>
          <w:b/>
          <w:color w:val="000000" w:themeColor="text1"/>
          <w:kern w:val="0"/>
          <w:sz w:val="32"/>
          <w:szCs w:val="32"/>
        </w:rPr>
        <w:t>（二）有关建议</w:t>
      </w:r>
    </w:p>
    <w:p>
      <w:pPr>
        <w:widowControl/>
        <w:shd w:val="clear" w:color="auto" w:fill="FFFFFF"/>
        <w:spacing w:line="520" w:lineRule="exact"/>
        <w:ind w:firstLine="640"/>
        <w:rPr>
          <w:rFonts w:ascii="仿宋" w:hAnsi="仿宋" w:eastAsia="仿宋" w:cs="Calibri"/>
          <w:color w:val="000000" w:themeColor="text1"/>
          <w:kern w:val="0"/>
          <w:szCs w:val="21"/>
        </w:rPr>
      </w:pPr>
      <w:r>
        <w:rPr>
          <w:rFonts w:hint="eastAsia" w:ascii="仿宋" w:hAnsi="仿宋" w:eastAsia="仿宋" w:cs="Calibri"/>
          <w:color w:val="000000" w:themeColor="text1"/>
          <w:kern w:val="0"/>
          <w:sz w:val="32"/>
          <w:szCs w:val="32"/>
        </w:rPr>
        <w:t>1.按照预算规定的项目和用途严格财务审核，经费支出严格按预算规定项目的财务支出内容进行财务核算，在预算金额内严格控制费用的支出。</w:t>
      </w:r>
    </w:p>
    <w:p>
      <w:pPr>
        <w:widowControl/>
        <w:shd w:val="clear" w:color="auto" w:fill="FFFFFF"/>
        <w:spacing w:line="520" w:lineRule="exact"/>
        <w:ind w:firstLine="640"/>
        <w:rPr>
          <w:rFonts w:ascii="仿宋" w:hAnsi="仿宋" w:eastAsia="仿宋" w:cs="Calibri"/>
          <w:color w:val="000000" w:themeColor="text1"/>
          <w:kern w:val="0"/>
          <w:szCs w:val="21"/>
        </w:rPr>
      </w:pPr>
      <w:r>
        <w:rPr>
          <w:rFonts w:hint="eastAsia" w:ascii="仿宋" w:hAnsi="仿宋" w:eastAsia="仿宋" w:cs="Calibri"/>
          <w:color w:val="000000" w:themeColor="text1"/>
          <w:kern w:val="0"/>
          <w:sz w:val="32"/>
          <w:szCs w:val="32"/>
        </w:rPr>
        <w:t>2.预算财务分析常态化，定期做好预算支出财务分析，做好单位整体支出预算评价工作。</w:t>
      </w:r>
    </w:p>
    <w:p>
      <w:pPr>
        <w:widowControl/>
        <w:shd w:val="clear" w:color="auto" w:fill="FFFFFF"/>
        <w:spacing w:line="520" w:lineRule="exact"/>
        <w:ind w:firstLine="640"/>
        <w:rPr>
          <w:rFonts w:ascii="仿宋" w:hAnsi="仿宋" w:eastAsia="仿宋" w:cs="Calibri"/>
          <w:color w:val="000000" w:themeColor="text1"/>
          <w:kern w:val="0"/>
          <w:szCs w:val="21"/>
        </w:rPr>
      </w:pPr>
      <w:r>
        <w:rPr>
          <w:rFonts w:hint="eastAsia" w:ascii="仿宋" w:hAnsi="仿宋" w:eastAsia="仿宋" w:cs="Calibri"/>
          <w:color w:val="000000" w:themeColor="text1"/>
          <w:kern w:val="0"/>
          <w:sz w:val="32"/>
          <w:szCs w:val="32"/>
        </w:rPr>
        <w:t>3.完善固定资产管理制度，从资产采购、使用以及报废各环节规范固定资产的管理，提高固定资产使用效率，减少资金浪费。</w:t>
      </w:r>
    </w:p>
    <w:p>
      <w:pPr>
        <w:widowControl/>
        <w:shd w:val="clear" w:color="auto" w:fill="FFFFFF"/>
        <w:spacing w:line="520" w:lineRule="exact"/>
        <w:ind w:firstLine="380" w:firstLineChars="200"/>
        <w:rPr>
          <w:rFonts w:ascii="仿宋" w:hAnsi="仿宋" w:eastAsia="仿宋" w:cs="Arial"/>
          <w:color w:val="000000" w:themeColor="text1"/>
          <w:kern w:val="0"/>
          <w:sz w:val="19"/>
          <w:szCs w:val="19"/>
        </w:rPr>
      </w:pPr>
    </w:p>
    <w:p>
      <w:pPr>
        <w:widowControl/>
        <w:shd w:val="clear" w:color="auto" w:fill="FFFFFF"/>
        <w:spacing w:line="520" w:lineRule="exact"/>
        <w:ind w:firstLine="380" w:firstLineChars="200"/>
        <w:rPr>
          <w:rFonts w:ascii="仿宋" w:hAnsi="仿宋" w:eastAsia="仿宋" w:cs="Arial"/>
          <w:color w:val="000000" w:themeColor="text1"/>
          <w:kern w:val="0"/>
          <w:sz w:val="19"/>
          <w:szCs w:val="19"/>
        </w:rPr>
      </w:pPr>
    </w:p>
    <w:p>
      <w:pPr>
        <w:spacing w:line="520" w:lineRule="exact"/>
        <w:ind w:firstLine="4160" w:firstLineChars="1300"/>
        <w:rPr>
          <w:rFonts w:ascii="仿宋" w:hAnsi="仿宋" w:eastAsia="仿宋"/>
          <w:color w:val="000000" w:themeColor="text1"/>
          <w:sz w:val="32"/>
          <w:szCs w:val="32"/>
        </w:rPr>
      </w:pPr>
      <w:r>
        <w:rPr>
          <w:rFonts w:hint="eastAsia" w:ascii="仿宋" w:hAnsi="仿宋" w:eastAsia="仿宋"/>
          <w:color w:val="000000" w:themeColor="text1"/>
          <w:sz w:val="32"/>
          <w:szCs w:val="32"/>
        </w:rPr>
        <w:t>沅江市路灯灯饰服务中心</w:t>
      </w:r>
    </w:p>
    <w:p>
      <w:pPr>
        <w:spacing w:line="520" w:lineRule="exact"/>
        <w:ind w:firstLine="4640" w:firstLineChars="1450"/>
        <w:rPr>
          <w:rFonts w:ascii="仿宋" w:hAnsi="仿宋" w:eastAsia="仿宋"/>
          <w:color w:val="000000" w:themeColor="text1"/>
          <w:sz w:val="32"/>
          <w:szCs w:val="32"/>
        </w:rPr>
      </w:pPr>
      <w:r>
        <w:rPr>
          <w:rFonts w:hint="eastAsia" w:ascii="仿宋" w:hAnsi="仿宋" w:eastAsia="仿宋"/>
          <w:color w:val="000000" w:themeColor="text1"/>
          <w:sz w:val="32"/>
          <w:szCs w:val="32"/>
        </w:rPr>
        <w:t>2023年4月6日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9218A"/>
    <w:multiLevelType w:val="multilevel"/>
    <w:tmpl w:val="61C9218A"/>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54"/>
    <w:rsid w:val="00014607"/>
    <w:rsid w:val="00025C48"/>
    <w:rsid w:val="00143B2D"/>
    <w:rsid w:val="0018265E"/>
    <w:rsid w:val="001B6BB9"/>
    <w:rsid w:val="0023138E"/>
    <w:rsid w:val="00325354"/>
    <w:rsid w:val="003435A1"/>
    <w:rsid w:val="003E36CD"/>
    <w:rsid w:val="00430C16"/>
    <w:rsid w:val="00436B23"/>
    <w:rsid w:val="0049245F"/>
    <w:rsid w:val="00507853"/>
    <w:rsid w:val="00547743"/>
    <w:rsid w:val="0062150A"/>
    <w:rsid w:val="00634D2E"/>
    <w:rsid w:val="00637CFE"/>
    <w:rsid w:val="006F3573"/>
    <w:rsid w:val="00701954"/>
    <w:rsid w:val="00703435"/>
    <w:rsid w:val="008337A1"/>
    <w:rsid w:val="00885C0C"/>
    <w:rsid w:val="008A184F"/>
    <w:rsid w:val="009B6811"/>
    <w:rsid w:val="00A4773D"/>
    <w:rsid w:val="00AA6677"/>
    <w:rsid w:val="00CA6CD5"/>
    <w:rsid w:val="00CE7AE0"/>
    <w:rsid w:val="00D54A9E"/>
    <w:rsid w:val="00D91C58"/>
    <w:rsid w:val="00E121C1"/>
    <w:rsid w:val="00E63F20"/>
    <w:rsid w:val="00E70555"/>
    <w:rsid w:val="00EB23C1"/>
    <w:rsid w:val="00F27DE3"/>
    <w:rsid w:val="00FC161F"/>
    <w:rsid w:val="00FC663C"/>
    <w:rsid w:val="00FF785D"/>
    <w:rsid w:val="3068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267</Words>
  <Characters>1528</Characters>
  <Lines>12</Lines>
  <Paragraphs>3</Paragraphs>
  <TotalTime>32</TotalTime>
  <ScaleCrop>false</ScaleCrop>
  <LinksUpToDate>false</LinksUpToDate>
  <CharactersWithSpaces>1792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2023-03-14T06:49:00Z</dcterms:created>
  <dc:creator>Administrator</dc:creator>
  <cp:lastModifiedBy>孙泽宇</cp:lastModifiedBy>
  <dcterms:modified xsi:type="dcterms:W3CDTF">2023-11-09T03:05:43Z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5D261FDA57B54DA0A50653C4346F9AF5_13</vt:lpwstr>
  </property>
</Properties>
</file>