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ind w:firstLine="480"/>
        <w:jc w:val="center"/>
        <w:textAlignment w:val="center"/>
        <w:rPr>
          <w:rFonts w:ascii="黑体" w:hAnsi="黑体" w:eastAsia="黑体"/>
          <w:b/>
          <w:color w:val="333333"/>
          <w:sz w:val="44"/>
          <w:szCs w:val="44"/>
        </w:rPr>
      </w:pPr>
      <w:bookmarkStart w:id="0" w:name="_GoBack"/>
      <w:bookmarkEnd w:id="0"/>
      <w:r>
        <w:rPr>
          <w:rFonts w:hint="eastAsia" w:ascii="黑体" w:hAnsi="黑体" w:eastAsia="黑体"/>
          <w:b/>
          <w:color w:val="333333"/>
          <w:sz w:val="44"/>
          <w:szCs w:val="44"/>
        </w:rPr>
        <w:t>目  录</w:t>
      </w:r>
    </w:p>
    <w:p>
      <w:pPr>
        <w:pStyle w:val="4"/>
        <w:spacing w:before="0" w:beforeAutospacing="0" w:after="0" w:afterAutospacing="0" w:line="560" w:lineRule="exact"/>
        <w:ind w:firstLine="480"/>
        <w:textAlignment w:val="center"/>
        <w:rPr>
          <w:rFonts w:ascii="黑体" w:hAnsi="黑体" w:eastAsia="黑体"/>
          <w:color w:val="333333"/>
          <w:sz w:val="32"/>
          <w:szCs w:val="32"/>
        </w:rPr>
      </w:pPr>
      <w:r>
        <w:rPr>
          <w:rFonts w:hint="eastAsia" w:ascii="黑体" w:hAnsi="黑体" w:eastAsia="黑体"/>
          <w:color w:val="333333"/>
          <w:sz w:val="32"/>
          <w:szCs w:val="32"/>
        </w:rPr>
        <w:t>一、部门概况</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（一）部门职能概述</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（二）部门组织机构及人员情况</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（三）年度重点工作计划</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（四）部门整体支出规模、使用方向、主要内容和涉及范围</w:t>
      </w:r>
    </w:p>
    <w:p>
      <w:pPr>
        <w:pStyle w:val="4"/>
        <w:spacing w:before="0" w:beforeAutospacing="0" w:after="0" w:afterAutospacing="0" w:line="560" w:lineRule="exact"/>
        <w:ind w:firstLine="480"/>
        <w:textAlignment w:val="center"/>
        <w:rPr>
          <w:rFonts w:ascii="黑体" w:hAnsi="黑体" w:eastAsia="黑体"/>
          <w:color w:val="333333"/>
          <w:sz w:val="32"/>
          <w:szCs w:val="32"/>
        </w:rPr>
      </w:pPr>
      <w:r>
        <w:rPr>
          <w:rFonts w:hint="eastAsia" w:ascii="黑体" w:hAnsi="黑体" w:eastAsia="黑体"/>
          <w:color w:val="333333"/>
          <w:sz w:val="32"/>
          <w:szCs w:val="32"/>
        </w:rPr>
        <w:t>二、部门整体支出资金管理及使用情况</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（一）基本支出</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（二）项目支出</w:t>
      </w:r>
    </w:p>
    <w:p>
      <w:pPr>
        <w:pStyle w:val="4"/>
        <w:spacing w:before="0" w:beforeAutospacing="0" w:after="0" w:afterAutospacing="0" w:line="560" w:lineRule="exact"/>
        <w:ind w:firstLine="480"/>
        <w:textAlignment w:val="center"/>
        <w:rPr>
          <w:rFonts w:ascii="黑体" w:hAnsi="黑体" w:eastAsia="黑体"/>
          <w:color w:val="333333"/>
          <w:sz w:val="32"/>
          <w:szCs w:val="32"/>
        </w:rPr>
      </w:pPr>
      <w:r>
        <w:rPr>
          <w:rFonts w:hint="eastAsia" w:ascii="黑体" w:hAnsi="黑体" w:eastAsia="黑体"/>
          <w:color w:val="333333"/>
          <w:sz w:val="32"/>
          <w:szCs w:val="32"/>
        </w:rPr>
        <w:t>三、部门项目组织实施情况</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（一）项目组织情况分析</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（二）项目管理情况分析</w:t>
      </w:r>
    </w:p>
    <w:p>
      <w:pPr>
        <w:pStyle w:val="4"/>
        <w:spacing w:before="0" w:beforeAutospacing="0" w:after="0" w:afterAutospacing="0" w:line="560" w:lineRule="exact"/>
        <w:ind w:firstLine="480"/>
        <w:textAlignment w:val="center"/>
        <w:rPr>
          <w:rFonts w:ascii="黑体" w:hAnsi="黑体" w:eastAsia="黑体"/>
          <w:color w:val="333333"/>
          <w:sz w:val="32"/>
          <w:szCs w:val="32"/>
        </w:rPr>
      </w:pPr>
      <w:r>
        <w:rPr>
          <w:rFonts w:hint="eastAsia" w:ascii="黑体" w:hAnsi="黑体" w:eastAsia="黑体"/>
          <w:color w:val="333333"/>
          <w:sz w:val="32"/>
          <w:szCs w:val="32"/>
        </w:rPr>
        <w:t>四、资产管理情况</w:t>
      </w:r>
    </w:p>
    <w:p>
      <w:pPr>
        <w:pStyle w:val="4"/>
        <w:spacing w:before="0" w:beforeAutospacing="0" w:after="0" w:afterAutospacing="0" w:line="560" w:lineRule="exact"/>
        <w:ind w:firstLine="480"/>
        <w:textAlignment w:val="center"/>
        <w:rPr>
          <w:rFonts w:ascii="黑体" w:hAnsi="黑体" w:eastAsia="黑体"/>
          <w:color w:val="333333"/>
          <w:sz w:val="32"/>
          <w:szCs w:val="32"/>
        </w:rPr>
      </w:pPr>
      <w:r>
        <w:rPr>
          <w:rFonts w:hint="eastAsia" w:ascii="黑体" w:hAnsi="黑体" w:eastAsia="黑体"/>
          <w:color w:val="333333"/>
          <w:sz w:val="32"/>
          <w:szCs w:val="32"/>
        </w:rPr>
        <w:t>五、部门整体支出绩效情况</w:t>
      </w:r>
    </w:p>
    <w:p>
      <w:pPr>
        <w:pStyle w:val="4"/>
        <w:spacing w:before="0" w:beforeAutospacing="0" w:after="0" w:afterAutospacing="0" w:line="560" w:lineRule="exact"/>
        <w:ind w:firstLine="480"/>
        <w:textAlignment w:val="center"/>
        <w:rPr>
          <w:rFonts w:ascii="楷体" w:hAnsi="楷体" w:eastAsia="楷体"/>
          <w:color w:val="333333"/>
          <w:sz w:val="32"/>
          <w:szCs w:val="32"/>
        </w:rPr>
      </w:pPr>
      <w:r>
        <w:rPr>
          <w:rFonts w:hint="eastAsia" w:ascii="楷体" w:hAnsi="楷体" w:eastAsia="楷体"/>
          <w:color w:val="333333"/>
          <w:sz w:val="32"/>
          <w:szCs w:val="32"/>
        </w:rPr>
        <w:t>（一）单位总支出情况的绩效分析</w:t>
      </w:r>
    </w:p>
    <w:p>
      <w:pPr>
        <w:pStyle w:val="4"/>
        <w:spacing w:before="0" w:beforeAutospacing="0" w:after="0" w:afterAutospacing="0" w:line="560" w:lineRule="exact"/>
        <w:ind w:firstLine="480"/>
        <w:textAlignment w:val="center"/>
        <w:rPr>
          <w:rFonts w:ascii="楷体" w:hAnsi="楷体" w:eastAsia="楷体"/>
          <w:color w:val="333333"/>
          <w:sz w:val="32"/>
          <w:szCs w:val="32"/>
        </w:rPr>
      </w:pPr>
      <w:r>
        <w:rPr>
          <w:rFonts w:hint="eastAsia" w:ascii="楷体" w:hAnsi="楷体" w:eastAsia="楷体"/>
          <w:color w:val="333333"/>
          <w:sz w:val="32"/>
          <w:szCs w:val="32"/>
        </w:rPr>
        <w:t>（二）单位项目资金绩效分析</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1、项目基本情况简介</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2、项目资金使用及管理情况</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3、项目组织实施情况</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4、项目绩效情况</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5、综合评价情况及评价结论</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6、绩效评价结果应用建议</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7、主要经验及做法</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六、存在的主要问题</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七、改进措施和有关建议</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八、单位在资金管理、项目管理等方面的先进经验及做法</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九、部门整体支出绩效评价等级</w:t>
      </w:r>
    </w:p>
    <w:p>
      <w:pPr>
        <w:pStyle w:val="4"/>
        <w:spacing w:before="0" w:beforeAutospacing="0" w:after="0" w:afterAutospacing="0" w:line="560" w:lineRule="exact"/>
        <w:ind w:firstLine="480"/>
        <w:textAlignment w:val="center"/>
        <w:rPr>
          <w:rFonts w:ascii="仿宋" w:hAnsi="仿宋" w:eastAsia="仿宋"/>
          <w:color w:val="333333"/>
          <w:sz w:val="32"/>
          <w:szCs w:val="32"/>
        </w:rPr>
      </w:pPr>
      <w:r>
        <w:rPr>
          <w:rFonts w:hint="eastAsia" w:ascii="仿宋" w:hAnsi="仿宋" w:eastAsia="仿宋"/>
          <w:color w:val="333333"/>
          <w:sz w:val="32"/>
          <w:szCs w:val="32"/>
        </w:rPr>
        <w:t>附相关评分表</w:t>
      </w: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textAlignment w:val="center"/>
        <w:rPr>
          <w:rFonts w:ascii="仿宋" w:hAnsi="仿宋" w:eastAsia="仿宋"/>
          <w:color w:val="333333"/>
          <w:sz w:val="32"/>
          <w:szCs w:val="32"/>
        </w:rPr>
      </w:pPr>
    </w:p>
    <w:p>
      <w:pPr>
        <w:pStyle w:val="4"/>
        <w:spacing w:before="0" w:beforeAutospacing="0" w:after="0" w:afterAutospacing="0" w:line="560" w:lineRule="exact"/>
        <w:ind w:firstLine="480"/>
        <w:jc w:val="center"/>
        <w:textAlignment w:val="center"/>
        <w:rPr>
          <w:rFonts w:ascii="仿宋" w:hAnsi="仿宋" w:eastAsia="仿宋"/>
          <w:b/>
          <w:color w:val="333333"/>
          <w:sz w:val="32"/>
          <w:szCs w:val="32"/>
        </w:rPr>
      </w:pPr>
    </w:p>
    <w:p>
      <w:pPr>
        <w:pStyle w:val="4"/>
        <w:spacing w:before="0" w:beforeAutospacing="0" w:after="0" w:afterAutospacing="0" w:line="560" w:lineRule="exact"/>
        <w:ind w:firstLine="480"/>
        <w:jc w:val="center"/>
        <w:textAlignment w:val="center"/>
        <w:rPr>
          <w:rFonts w:ascii="仿宋" w:hAnsi="仿宋" w:eastAsia="仿宋"/>
          <w:b/>
          <w:color w:val="333333"/>
          <w:sz w:val="32"/>
          <w:szCs w:val="32"/>
        </w:rPr>
      </w:pPr>
    </w:p>
    <w:p>
      <w:pPr>
        <w:pStyle w:val="4"/>
        <w:spacing w:before="0" w:beforeAutospacing="0" w:after="0" w:afterAutospacing="0" w:line="560" w:lineRule="exact"/>
        <w:ind w:firstLine="480"/>
        <w:jc w:val="center"/>
        <w:textAlignment w:val="center"/>
        <w:rPr>
          <w:rFonts w:ascii="仿宋" w:hAnsi="仿宋" w:eastAsia="仿宋"/>
          <w:b/>
          <w:color w:val="333333"/>
          <w:sz w:val="32"/>
          <w:szCs w:val="32"/>
        </w:rPr>
      </w:pPr>
    </w:p>
    <w:p>
      <w:pPr>
        <w:pStyle w:val="4"/>
        <w:spacing w:before="0" w:beforeAutospacing="0" w:after="0" w:afterAutospacing="0" w:line="560" w:lineRule="exact"/>
        <w:ind w:firstLine="480"/>
        <w:jc w:val="center"/>
        <w:textAlignment w:val="center"/>
        <w:rPr>
          <w:rFonts w:ascii="仿宋" w:hAnsi="仿宋" w:eastAsia="仿宋"/>
          <w:b/>
          <w:color w:val="333333"/>
          <w:sz w:val="32"/>
          <w:szCs w:val="32"/>
        </w:rPr>
      </w:pPr>
    </w:p>
    <w:p>
      <w:pPr>
        <w:pStyle w:val="4"/>
        <w:spacing w:before="0" w:beforeAutospacing="0" w:after="0" w:afterAutospacing="0" w:line="560" w:lineRule="exact"/>
        <w:ind w:firstLine="480"/>
        <w:jc w:val="center"/>
        <w:textAlignment w:val="center"/>
        <w:rPr>
          <w:rFonts w:ascii="方正小标宋_GBK" w:eastAsia="方正小标宋_GBK"/>
          <w:color w:val="333333"/>
          <w:sz w:val="44"/>
          <w:szCs w:val="44"/>
        </w:rPr>
      </w:pPr>
      <w:r>
        <w:rPr>
          <w:rFonts w:hint="eastAsia" w:ascii="方正小标宋_GBK" w:eastAsia="方正小标宋_GBK"/>
          <w:color w:val="333333"/>
          <w:sz w:val="44"/>
          <w:szCs w:val="44"/>
        </w:rPr>
        <w:t>沅江市城市管理和综合执法局</w:t>
      </w:r>
    </w:p>
    <w:p>
      <w:pPr>
        <w:pStyle w:val="4"/>
        <w:spacing w:before="0" w:beforeAutospacing="0" w:after="0" w:afterAutospacing="0" w:line="560" w:lineRule="exact"/>
        <w:ind w:firstLine="480"/>
        <w:jc w:val="center"/>
        <w:textAlignment w:val="center"/>
        <w:rPr>
          <w:rFonts w:ascii="方正小标宋_GBK" w:eastAsia="方正小标宋_GBK"/>
          <w:color w:val="333333"/>
          <w:sz w:val="44"/>
          <w:szCs w:val="44"/>
        </w:rPr>
      </w:pPr>
      <w:r>
        <w:rPr>
          <w:rFonts w:hint="eastAsia" w:ascii="方正小标宋_GBK" w:eastAsia="方正小标宋_GBK"/>
          <w:color w:val="333333"/>
          <w:sz w:val="44"/>
          <w:szCs w:val="44"/>
        </w:rPr>
        <w:t>2022年部门整体支出绩效自评报告</w:t>
      </w:r>
    </w:p>
    <w:p>
      <w:pPr>
        <w:pStyle w:val="4"/>
        <w:spacing w:before="0" w:beforeAutospacing="0" w:after="0" w:afterAutospacing="0" w:line="560" w:lineRule="exact"/>
        <w:ind w:firstLine="480"/>
        <w:textAlignment w:val="center"/>
        <w:rPr>
          <w:rFonts w:ascii="仿宋" w:hAnsi="仿宋" w:eastAsia="仿宋"/>
          <w:b/>
          <w:color w:val="333333"/>
          <w:sz w:val="32"/>
          <w:szCs w:val="32"/>
        </w:rPr>
      </w:pP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一、部门概况</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（一）部门职能概述</w:t>
      </w:r>
    </w:p>
    <w:p>
      <w:pPr>
        <w:spacing w:line="600" w:lineRule="exact"/>
        <w:ind w:firstLine="640" w:firstLineChars="200"/>
        <w:rPr>
          <w:rFonts w:ascii="仿宋" w:hAnsi="仿宋" w:eastAsia="仿宋"/>
          <w:sz w:val="32"/>
          <w:szCs w:val="32"/>
        </w:rPr>
      </w:pPr>
      <w:r>
        <w:rPr>
          <w:rFonts w:hint="eastAsia" w:ascii="仿宋" w:hAnsi="仿宋" w:eastAsia="仿宋"/>
          <w:color w:val="333333"/>
          <w:sz w:val="32"/>
          <w:szCs w:val="32"/>
        </w:rPr>
        <w:t>沅江市城市管理和综合执法局是市人民政府正科级的工作部门。主要职责为：</w:t>
      </w:r>
      <w:r>
        <w:rPr>
          <w:rFonts w:hint="eastAsia" w:ascii="仿宋" w:hAnsi="仿宋" w:eastAsia="仿宋"/>
          <w:sz w:val="32"/>
          <w:szCs w:val="32"/>
        </w:rPr>
        <w:t>牵头检查、指导、协调市直部门、街道与城管有关的业务工作和“六大专项整治”工作。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1.贯彻执行国家,省有关城市建设管理工作和城市管理行政执法的法律,法规及规章;拟定全市城市管理和城市管理行政执法方面的规范性文件。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研究制定并组织实施城市管理行政执法的中长期规划和年度计划,研究拟定城管监察,环境卫生,园林绿化,市政维护,城市亮化,城市污水排放处理及处理费征收,城市供水,燃气管理,建筑垃圾管理等方面的规划和年度计划,并组织实施;参与审查工程建设项目中有关环境卫生,市政设施,园林绿化,城市供排水等设施的设计方案和竣工验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负责环境卫生的行政和业务管理工作;负责管理城市环境卫生的清扫保洁和城市生活垃圾得清运与处置;城市建筑垃圾得处置和管理工作;负责城市环卫设施的建设和管理工作；行使容环境卫生方面法律,法规,规章规定的行政处罚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4.负责城区园林绿化的规划、设计和管理工作;负责城区绿化,美化工作;负责园林设施的建设、维护和管理;行驶城市绿化管理方面法律、法规、规章规定的行政处罚权。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负责城市市容市貌管理工作;依据有关法律、法规、对占有、挖掘、损坏、乱占、乱挖城市道路、损坏排水设施、桥涵、广场等不文明施工行为和乱倒垃圾、乱堆杂物、乱贴乱画、乱棚亭、乱设广告等方面的违规违章行为进行执法监督和查处；负责市区内设置各种机动停车场点、非机动车停车场、临时棚亭及构筑物、临时性建筑、临时性市场、户外广告等事项的管理;行驶城市市容市貌管理方面法律、法规、规章规定的行政处罚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负责城市市政基础设施管理工作;负责城市市政基础设施,包括道路、桥涵、地下雨水污水管道的建设、维护与管理;负责编制市政公用设施维护资金计划以及到位资金的使用和管理;行驶市政公用设施管理方面法律、法规、规章规定的行政处罚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7.负责城区路灯规划、维护、管理;负责城区供水生产和计划,节约用水管理;负责城市燃气规划、安全管理和监督,依法行使其相关管理方面法律、法规、规章规定的行政处罚权。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8.负责对城市规划区未取得《建设工程规划许可证》或者未按照《建设工程规划许可证》的规定进行建设的行为实施处罚。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9.负责对中心城区不按指定时间从事建筑垃圾运输活动,或未采取有效措施防治致使大气污染的行为实施监管的行政处罚,对中心城区运输煤炭、煤渣、砂石、尘土、固体废弃物等散流和在主次干道范围内焚烧垃圾、桔杆、落叶等产生有害物质、气体和粉尘烟尘污染的行为实施监管和行政处罚;对中心城区职责范围内经营性餐饮业油烟污染行为实施监管和行政处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10.负责对城区内无照商贩、违规摆摊设点侵占城市道路行为进行处罚。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11.负责城市管理行政执法协调工作。牵头组织并协调两街道和食品药品工商质监监督、公安、住建、房产、环保、卫计、交通运输、文体广新等与城市管理和城管行政执法有联系的部门,共同做好城市管理行政执法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12.承办市委、市政府交办的其他事项。</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（二）部门组织机构及人员情况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1.组织机构</w:t>
      </w:r>
    </w:p>
    <w:p>
      <w:pPr>
        <w:widowControl/>
        <w:spacing w:line="600" w:lineRule="exact"/>
        <w:ind w:firstLine="640" w:firstLineChars="200"/>
        <w:rPr>
          <w:rFonts w:ascii="仿宋" w:hAnsi="仿宋" w:eastAsia="仿宋"/>
          <w:sz w:val="32"/>
          <w:szCs w:val="32"/>
        </w:rPr>
      </w:pPr>
      <w:r>
        <w:rPr>
          <w:rFonts w:hint="eastAsia" w:ascii="仿宋" w:hAnsi="仿宋" w:eastAsia="仿宋" w:cs="宋体"/>
          <w:color w:val="000000"/>
          <w:kern w:val="0"/>
          <w:sz w:val="32"/>
          <w:szCs w:val="32"/>
        </w:rPr>
        <w:t>根据编委核定，我局内设股室7个（办公室、人事股、政策法规股、城市管理股、计划财务股、督查股、户外广告管理办），沅江市城市管理和综合执法局所属下级事业单位8个（市城市建设管理监察大队、规划行政执法直属中队、环境卫生服务中心、园林绿化服务中心、市政工程事务中心、湘北市场管理办公室、路灯灯饰服务中心、城镇垃圾无害化处理服务中心，均为</w:t>
      </w:r>
      <w:r>
        <w:rPr>
          <w:rFonts w:hint="eastAsia" w:ascii="仿宋" w:hAnsi="仿宋" w:eastAsia="仿宋"/>
          <w:color w:val="333333"/>
          <w:sz w:val="32"/>
          <w:szCs w:val="32"/>
        </w:rPr>
        <w:t>财务独立核算）。</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2.人员情况</w:t>
      </w:r>
    </w:p>
    <w:p>
      <w:pPr>
        <w:widowControl/>
        <w:spacing w:line="600" w:lineRule="exact"/>
        <w:ind w:firstLine="640" w:firstLineChars="200"/>
        <w:rPr>
          <w:rFonts w:ascii="仿宋" w:hAnsi="仿宋" w:eastAsia="仿宋" w:cs="宋体"/>
          <w:color w:val="000000"/>
          <w:kern w:val="0"/>
          <w:sz w:val="32"/>
          <w:szCs w:val="32"/>
        </w:rPr>
      </w:pPr>
      <w:r>
        <w:rPr>
          <w:rFonts w:hint="eastAsia" w:ascii="仿宋" w:hAnsi="仿宋" w:eastAsia="仿宋"/>
          <w:color w:val="333333"/>
          <w:sz w:val="32"/>
          <w:szCs w:val="32"/>
        </w:rPr>
        <w:t>2022年末，</w:t>
      </w:r>
      <w:r>
        <w:rPr>
          <w:rFonts w:hint="eastAsia" w:ascii="仿宋" w:hAnsi="仿宋" w:eastAsia="仿宋"/>
          <w:sz w:val="32"/>
          <w:szCs w:val="32"/>
        </w:rPr>
        <w:t>我局纳入部门预算编制</w:t>
      </w:r>
      <w:r>
        <w:rPr>
          <w:rFonts w:hint="eastAsia" w:ascii="仿宋" w:hAnsi="仿宋" w:eastAsia="仿宋"/>
          <w:color w:val="000000"/>
          <w:sz w:val="32"/>
          <w:szCs w:val="32"/>
        </w:rPr>
        <w:t>32</w:t>
      </w:r>
      <w:r>
        <w:rPr>
          <w:rFonts w:hint="eastAsia" w:ascii="仿宋" w:hAnsi="仿宋" w:eastAsia="仿宋"/>
          <w:sz w:val="32"/>
          <w:szCs w:val="32"/>
        </w:rPr>
        <w:t>人。其中：实有在职人员20人，离退休人员12人 ，公务员12人，事业编制6人，城镇退伍2人。</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（三）年度重点工作计划</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1．全力推进各项整治行动。开展了</w:t>
      </w:r>
      <w:r>
        <w:rPr>
          <w:rFonts w:ascii="仿宋" w:hAnsi="仿宋" w:eastAsia="仿宋"/>
          <w:sz w:val="32"/>
          <w:szCs w:val="32"/>
        </w:rPr>
        <w:t>污染防治攻坚战（特别是“蓝天保卫战”和垃圾填埋场环保销号）、</w:t>
      </w:r>
      <w:r>
        <w:rPr>
          <w:rFonts w:hint="eastAsia" w:ascii="仿宋" w:hAnsi="仿宋" w:eastAsia="仿宋"/>
          <w:sz w:val="32"/>
          <w:szCs w:val="32"/>
        </w:rPr>
        <w:t>市容秩序专项整治、拆违控违专项整治、停车秩序专项整治、户外广告专项整治，目前污染防治显成效、市容秩序逐步提升、户外广告管理逐步规范、市区主要街道停车秩序逐渐好转，拆违控违工作大跨步推进。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2．重点地段</w:t>
      </w:r>
      <w:r>
        <w:rPr>
          <w:rFonts w:ascii="仿宋" w:hAnsi="仿宋" w:eastAsia="仿宋"/>
          <w:sz w:val="32"/>
          <w:szCs w:val="32"/>
        </w:rPr>
        <w:t>基础设施建设维护到位。</w:t>
      </w:r>
      <w:r>
        <w:rPr>
          <w:rFonts w:hint="eastAsia" w:ascii="仿宋" w:hAnsi="仿宋" w:eastAsia="仿宋"/>
          <w:sz w:val="32"/>
          <w:szCs w:val="32"/>
        </w:rPr>
        <w:t>完成了琼湖路，沅江大道、庆云山路、巴山路、狮山路、中联大道、桔城大道、桔园路、新源路、小叶湖路、金竹路等中心城区11条主干道人行道板的维修维护；完成了琼湖路、沅江大道、巴山路、狮山路、桔城大道、新源路、桔园路、庆云山路等中心城区8条主干道的行道树池提质改造。完成了湘北市场“人车分流”，有效缓解了车辆拥堵、市场无序的困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3．中心城区</w:t>
      </w:r>
      <w:r>
        <w:rPr>
          <w:rFonts w:ascii="仿宋" w:hAnsi="仿宋" w:eastAsia="仿宋"/>
          <w:sz w:val="32"/>
          <w:szCs w:val="32"/>
        </w:rPr>
        <w:t>环卫工作上台阶。垃圾日扫、日洗、日清、日运成为常态，背街小巷、城乡结合部等管理难点的卫生状况明显改善。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4．高标准推进“智慧路灯”项目。经过对合同细节反复磋商，该项目于2022年9月5日签订合同，完成了示范路段（沅江大道东段）的改造安装，待验收合格再全城实施。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5．垃圾填埋场环保整改全面推进。通过多举措、全面整改，11月初，经省住建厅实地对2022年省级督察“回头看”指出垃圾填埋场问题的整改验收，目前正在加快整改，争取进入销号程序。</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（四）部门整体支出规模、使用方向、主要内容和涉及范围</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sz w:val="32"/>
          <w:szCs w:val="32"/>
        </w:rPr>
        <w:t>2022年部门整体支出2905.37</w:t>
      </w:r>
      <w:r>
        <w:rPr>
          <w:rFonts w:hint="eastAsia" w:ascii="仿宋" w:hAnsi="仿宋" w:eastAsia="仿宋"/>
          <w:color w:val="333333"/>
          <w:sz w:val="32"/>
          <w:szCs w:val="32"/>
        </w:rPr>
        <w:t>万元，其中基本支出</w:t>
      </w:r>
      <w:r>
        <w:rPr>
          <w:rFonts w:hint="eastAsia" w:ascii="仿宋" w:hAnsi="仿宋" w:eastAsia="仿宋"/>
          <w:sz w:val="32"/>
          <w:szCs w:val="32"/>
        </w:rPr>
        <w:t>304.89</w:t>
      </w:r>
      <w:r>
        <w:rPr>
          <w:rFonts w:hint="eastAsia" w:ascii="仿宋" w:hAnsi="仿宋" w:eastAsia="仿宋"/>
          <w:color w:val="333333"/>
          <w:sz w:val="32"/>
          <w:szCs w:val="32"/>
        </w:rPr>
        <w:t>万元，主要用于职工工资福利、机关运行、工会、党建及退休人员待遇等支出；项目支出2600.48万元，主要用于路灯维护和电费、城管执法、拆违控违、文明创建、污染防治、违停治理等重点工作支出。</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二、部门整体支出资金管理及使用情况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sz w:val="32"/>
          <w:szCs w:val="32"/>
        </w:rPr>
        <w:t>2022年本单位收入2905.3</w:t>
      </w:r>
      <w:r>
        <w:rPr>
          <w:rFonts w:hint="eastAsia" w:ascii="仿宋" w:hAnsi="仿宋" w:eastAsia="仿宋"/>
          <w:sz w:val="32"/>
          <w:szCs w:val="32"/>
          <w:lang w:val="en-US" w:eastAsia="zh-CN"/>
        </w:rPr>
        <w:t>8</w:t>
      </w:r>
      <w:r>
        <w:rPr>
          <w:rFonts w:hint="eastAsia" w:ascii="仿宋" w:hAnsi="仿宋" w:eastAsia="仿宋"/>
          <w:sz w:val="32"/>
          <w:szCs w:val="32"/>
        </w:rPr>
        <w:t>万元，其中，财政拨款收入2463.8</w:t>
      </w:r>
      <w:r>
        <w:rPr>
          <w:rFonts w:hint="eastAsia" w:ascii="仿宋" w:hAnsi="仿宋" w:eastAsia="仿宋"/>
          <w:sz w:val="32"/>
          <w:szCs w:val="32"/>
          <w:lang w:val="en-US" w:eastAsia="zh-CN"/>
        </w:rPr>
        <w:t>4</w:t>
      </w:r>
      <w:r>
        <w:rPr>
          <w:rFonts w:hint="eastAsia" w:ascii="仿宋" w:hAnsi="仿宋" w:eastAsia="仿宋"/>
          <w:sz w:val="32"/>
          <w:szCs w:val="32"/>
        </w:rPr>
        <w:t>万元，其他收入441.54万元。本年支出2905.3</w:t>
      </w:r>
      <w:r>
        <w:rPr>
          <w:rFonts w:hint="eastAsia" w:ascii="仿宋" w:hAnsi="仿宋" w:eastAsia="仿宋"/>
          <w:sz w:val="32"/>
          <w:szCs w:val="32"/>
          <w:lang w:val="en-US" w:eastAsia="zh-CN"/>
        </w:rPr>
        <w:t>8</w:t>
      </w:r>
      <w:r>
        <w:rPr>
          <w:rFonts w:hint="eastAsia" w:ascii="仿宋" w:hAnsi="仿宋" w:eastAsia="仿宋"/>
          <w:sz w:val="32"/>
          <w:szCs w:val="32"/>
        </w:rPr>
        <w:t>万元，其中基本支出304.89万元，项目支出2600.48</w:t>
      </w:r>
      <w:r>
        <w:rPr>
          <w:rFonts w:hint="eastAsia" w:ascii="仿宋" w:hAnsi="仿宋" w:eastAsia="仿宋"/>
          <w:color w:val="333333"/>
          <w:sz w:val="32"/>
          <w:szCs w:val="32"/>
        </w:rPr>
        <w:t>万元。</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（一）基本支出</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1.实际整体收支情况。2022年本单位基本支出</w:t>
      </w:r>
      <w:r>
        <w:rPr>
          <w:rFonts w:hint="eastAsia" w:ascii="仿宋" w:hAnsi="仿宋" w:eastAsia="仿宋"/>
          <w:sz w:val="32"/>
          <w:szCs w:val="32"/>
        </w:rPr>
        <w:t>304.89</w:t>
      </w:r>
      <w:r>
        <w:rPr>
          <w:rFonts w:hint="eastAsia" w:ascii="仿宋" w:hAnsi="仿宋" w:eastAsia="仿宋"/>
          <w:color w:val="333333"/>
          <w:sz w:val="32"/>
          <w:szCs w:val="32"/>
        </w:rPr>
        <w:t>万元，其中人员经费支出</w:t>
      </w:r>
      <w:r>
        <w:rPr>
          <w:rFonts w:hint="eastAsia" w:ascii="仿宋" w:hAnsi="仿宋" w:eastAsia="仿宋"/>
          <w:sz w:val="32"/>
          <w:szCs w:val="32"/>
        </w:rPr>
        <w:t>270万元，日常公用经费支出34.89</w:t>
      </w:r>
      <w:r>
        <w:rPr>
          <w:rFonts w:hint="eastAsia" w:ascii="仿宋" w:hAnsi="仿宋" w:eastAsia="仿宋"/>
          <w:color w:val="333333"/>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2.“三公”经费总支出情况。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2022年</w:t>
      </w:r>
      <w:r>
        <w:rPr>
          <w:rFonts w:hint="eastAsia" w:ascii="仿宋" w:hAnsi="仿宋" w:eastAsia="仿宋"/>
          <w:sz w:val="32"/>
          <w:szCs w:val="32"/>
        </w:rPr>
        <w:t>，“三公”经费支出34.47万元，公务用车购置及运行维护费和公务接待支出，上年支出7.4万元，比上年增加27万元，增幅367%，增加的主要原因是新购两台执法车。其中：因公出国（境）费完成0元；公务接待费完成0.78</w:t>
      </w:r>
      <w:r>
        <w:rPr>
          <w:rFonts w:hint="eastAsia" w:ascii="仿宋" w:hAnsi="仿宋" w:eastAsia="仿宋"/>
          <w:color w:val="333333"/>
          <w:sz w:val="32"/>
          <w:szCs w:val="32"/>
        </w:rPr>
        <w:t>万元；公务用车购置及运行维护费完成33.69元。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3.因公出国（境）费用支出和公务用车（购置）情况。</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color w:val="333333"/>
          <w:sz w:val="32"/>
          <w:szCs w:val="32"/>
        </w:rPr>
        <w:t>2022年，无因公出国（境）费用支出。新购的2</w:t>
      </w:r>
      <w:r>
        <w:rPr>
          <w:rFonts w:hint="eastAsia" w:ascii="仿宋" w:hAnsi="仿宋" w:eastAsia="仿宋"/>
          <w:sz w:val="32"/>
          <w:szCs w:val="32"/>
        </w:rPr>
        <w:t>台执法用车辆。</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（二）项目支出</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color w:val="333333"/>
          <w:sz w:val="32"/>
          <w:szCs w:val="32"/>
        </w:rPr>
        <w:t>2022年度本单位项目支出总资</w:t>
      </w:r>
      <w:r>
        <w:rPr>
          <w:rFonts w:hint="eastAsia" w:ascii="仿宋" w:hAnsi="仿宋" w:eastAsia="仿宋"/>
          <w:sz w:val="32"/>
          <w:szCs w:val="32"/>
        </w:rPr>
        <w:t>金2600.48万元。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1．项目资金（包括财政资金、自筹资金等）安排落实、总投入等情况分析。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sz w:val="32"/>
          <w:szCs w:val="32"/>
        </w:rPr>
        <w:t>2022年项目资金总投入2600.48万元，</w:t>
      </w:r>
      <w:r>
        <w:rPr>
          <w:rFonts w:hint="eastAsia" w:ascii="仿宋" w:hAnsi="仿宋" w:eastAsia="仿宋"/>
          <w:color w:val="333333"/>
          <w:sz w:val="32"/>
          <w:szCs w:val="32"/>
        </w:rPr>
        <w:t>其中财政资金2158.94万元，其他收入441.54万元，项目均纳入单位绩效监控和评价，执行情况较好。</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2．项目资金（主要指财政资金）实际使用情况分析。</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（1）跑马岭路垃圾中转站项目申报经费和项目前期工作经费24万元；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（2）协管员工作经费300万元；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（3）三治项目302.29万元；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（4）城市维护费384.65万元；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（5）污水处理厂提标改造项目款274.62万元；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（6）节假日氛围营造经费231.34万元；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（7）城区路灯电费及维护费330万元；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（8）2021年乡村振兴帮扶驻村工作经费4万元；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（9）2022年洞庭湖区域防汛抢险9.3万元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（10）益沅一级公路社会道口维护和硬化27.68万元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（11）渗滤液应急处理费及技术改造费用712.6万元。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3．项目资金管理情况分析，主要包括管理制度、办法的制定及执行情况。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根据《会计法》《预算法》以及单位《财务管理制度》《政府采购内部控制制度》等规定，明确了项目经费审批、使用权限及程序、经费预算管理、财务经费管理、资产处置、财务监督等要求，并对项目资金使用及管理进行规范化操作，实施项目事前、事中、事后绩效评价，确保资金使用安全，提高资金使用效率。</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三、部门项目组织实施情况</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（一）项目组织情况分析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严格执行政府采购要求，每笔资金使用需填制《资金使用申请表》，逐级审批方可支出，政府采购限额以上经费支出还需相关部门验收合格后支出。项目经费严格按照单位财务制度执行，在预算支出范围内使用，由财政国库支付局统一核算，按照项目计划安排和实际工作情况开支，确保专款专用。</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其中：智慧路灯项目实施事前绩效评价，城区路灯电费和维护费、拆违控违、春节及国庆城区氛围布置、业务用车购置等项目按政府采购要求，由我局招委托第三方对外公开招标，相关科室对项目推进全程跟踪并在项目完工后验收，工程完工后凭税票、验收单付款。</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（二）项目管理情况分析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2022年，我局新制定《政府采购内控制度》，规范项目采购支出，同时，加强对专项资金管理、使用，实行项目资金专款专用，项目招投标情况报纪检组、财政、审计纪检等部门的监督检查，局督查考核办全程跟踪检查项目组织实施和资金拨付、使用情况，对发现问题及时处置和上报。</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四、资产管理情况</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2022年，年初资产总量为3557.94万元，年末资产总量为3726.1万元。其中，年末资产中流动资产82.92万元，占比为2.23%；固定资产净值295.37万元，占比为7.93%；在建工程3340.83万元，占比89.66%。本年度新增固定资产55.31万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我单位严格按照行政事业性国有资产管理制度相关规定，实施由局办公室在政府公采平台统一采购，财务股对每笔固定资产购置进行登记入账入库，资产处置严格按照国资中心要求，依流程审批，按规定核销。</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五、部门整体支出绩效情况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2022年，本单位年初预算</w:t>
      </w:r>
      <w:r>
        <w:rPr>
          <w:rFonts w:hint="eastAsia" w:ascii="仿宋" w:hAnsi="仿宋" w:eastAsia="仿宋"/>
          <w:sz w:val="32"/>
          <w:szCs w:val="32"/>
        </w:rPr>
        <w:t>938.41万元，全年支出2905.37</w:t>
      </w:r>
      <w:r>
        <w:rPr>
          <w:rFonts w:hint="eastAsia" w:ascii="仿宋" w:hAnsi="仿宋" w:eastAsia="仿宋"/>
          <w:color w:val="333333"/>
          <w:sz w:val="32"/>
          <w:szCs w:val="32"/>
        </w:rPr>
        <w:t>万元，增加支出主要是由于人员基本工资提标和文明创建、违停抄牌、拆违控违、智慧路灯、渗滤液应急处理、执法车辆购置等项目支出追加所致。通过加强预算收支管理，建立健全内部管理制度，完善财务流程，部门整体支出管理水平得到提升，职工各项待遇有力保障，机关运行正常有序，全年目标任务基本达成。</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（一）单位总支出情况的绩效分析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2022年度本单</w:t>
      </w:r>
      <w:r>
        <w:rPr>
          <w:rFonts w:hint="eastAsia" w:ascii="仿宋" w:hAnsi="仿宋" w:eastAsia="仿宋"/>
          <w:sz w:val="32"/>
          <w:szCs w:val="32"/>
        </w:rPr>
        <w:t>位共支出资金2905.37万元，其中财政资金2324.93万元。基本支出304.89万元，其中人员经费270万元，公用经费34.89万元；项目支出2600.48万元</w:t>
      </w:r>
      <w:r>
        <w:rPr>
          <w:rFonts w:hint="eastAsia" w:ascii="仿宋" w:hAnsi="仿宋" w:eastAsia="仿宋"/>
          <w:color w:val="333333"/>
          <w:sz w:val="32"/>
          <w:szCs w:val="32"/>
        </w:rPr>
        <w:t>。</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单位总支出绩效评价：2022年年初部门预算</w:t>
      </w:r>
      <w:r>
        <w:rPr>
          <w:rFonts w:hint="eastAsia" w:ascii="仿宋" w:hAnsi="仿宋" w:eastAsia="仿宋"/>
          <w:sz w:val="32"/>
          <w:szCs w:val="32"/>
        </w:rPr>
        <w:t>938.41</w:t>
      </w:r>
      <w:r>
        <w:rPr>
          <w:rFonts w:hint="eastAsia" w:ascii="仿宋" w:hAnsi="仿宋" w:eastAsia="仿宋"/>
          <w:color w:val="333333"/>
          <w:sz w:val="32"/>
          <w:szCs w:val="32"/>
        </w:rPr>
        <w:t>万元。由于人员经费标准提高、渗滤液处理量增大、电费涨价、创文创卫工作推进及城市管理各项工作任务的增加，各项成本均有所增加，全年支出</w:t>
      </w:r>
      <w:r>
        <w:rPr>
          <w:rFonts w:hint="eastAsia" w:ascii="仿宋" w:hAnsi="仿宋" w:eastAsia="仿宋"/>
          <w:sz w:val="32"/>
          <w:szCs w:val="32"/>
        </w:rPr>
        <w:t>2905.37</w:t>
      </w:r>
      <w:r>
        <w:rPr>
          <w:rFonts w:hint="eastAsia" w:ascii="仿宋" w:hAnsi="仿宋" w:eastAsia="仿宋"/>
          <w:color w:val="333333"/>
          <w:sz w:val="32"/>
          <w:szCs w:val="32"/>
        </w:rPr>
        <w:t>万元，追加经费主要是人员经费提标以及拆违控违、文明创建、违停抄牌系统、渗滤液应急处理、执法车辆购置等项目经费支出。各项经费的支出在市财政、审计和局财经工作领导小组指导下规范、高效使用，通过内部考核和绩效评价，推动城市管理工作有序开展，执法和服务更规范，城市市容市貌明显提升，市民对城市管理工作满意度明显提高，助力我市全国文明城市和国家卫生城市创建。同时，通过保障城市管理日常工作及专项经费支出，将预算与实际工作完成情况相结合，有效提高工作主动性，确保了项目可持续发展。</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（二）单位项目资金绩效分析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2022年本单位共支出项目资金</w:t>
      </w:r>
      <w:r>
        <w:rPr>
          <w:rFonts w:hint="eastAsia" w:ascii="仿宋" w:hAnsi="仿宋" w:eastAsia="仿宋"/>
          <w:sz w:val="32"/>
          <w:szCs w:val="32"/>
        </w:rPr>
        <w:t>2600.48</w:t>
      </w:r>
      <w:r>
        <w:rPr>
          <w:rFonts w:hint="eastAsia" w:ascii="仿宋" w:hAnsi="仿宋" w:eastAsia="仿宋"/>
          <w:color w:val="333333"/>
          <w:sz w:val="32"/>
          <w:szCs w:val="32"/>
        </w:rPr>
        <w:t>万元，其中主要包括拆违控违、节假日氛围布置、智慧路灯、文明创建、城管执法、渗滤液处理、执法用车购置等项目，全部项目纳入绩效评价范围，资金由财政足额保障，为城市管理工作提供强有力的支持，助力全国文明城市和国家卫生城市的创建。现将智慧路灯项目绩效情况进行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1．项目基本情况简介</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项目申报及前期工作经费用于跑马岭路垃圾中转站的前期申报开支；协管员工作经费用于50名协管员的辅助执法的劳务费、执服以及其他等支出；三治项目主要是用于市政工程临时应急抢修抢建的工程支出；城市维护费主要用于拆违控违、影响城区市容市貌的户外广告清理、执法车辆购置及维护费用、违停抄牌系统和办公楼维修维护等支出；污水处理厂提标改造项目用于滤布滤池、高效沉淀地、污泥脱水机房等建设支出；节假日氛围布置项目用于法定节假日国旗、中国结、道旗、绿化、亮化等氛围布置劳务及维护费用支出；城区智慧路灯项目用于城区路灯的电费及必要照明设施的维修维护等支出；乡村振兴帮扶驻村工作经费用于驻村工作队员的差旅费用、办公设备添置等支出；洞庭湖区域防汛抢险用于防汛抢险期间费用的支出；益沅一级公路社会道口维护和硬化用于益沅一级公路沅江辖区内多处社会道口维护和硬化支出；渗滤液应急处理费及技术改造费用用于垃圾场长期渗滤液处理能力不足导致垃圾填埋场一库区积存大量渗滤液的处理以及对一、二库区渗滤液处理的技术改造。。</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2．项目资金使用及管理情况</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项目申报及前期工作经费投资24万元，全部为财政安排，实际支出24万元；协管员工作经费投资300万元，全部为财政安排，实际支出300万元；三治项目投资302.29万元，实际支出302.29万元；城市维护费投资384.65万元，实际支出384.65万元；污水处理厂提标改造项目投资274.62万元，实际支出274.62万元；节假日氛围布置项目投资231.34万元，实际支出231.34万元；城区智慧路灯项目投资330万元，实际支出330万元；乡村振兴帮扶驻村工作经费用投资4万元，实际支出4万元；洞庭湖区域防汛抢险投资9.3万元，实际支出9.3万元；益沅一级公路社会道口维护和硬化投资27.68万元，实际支出27.68万元；渗滤液应急处理费及技术改造费用投资712.6万元，实际支出712.6万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 xml:space="preserve"> 3．项目组织实施情况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项目依照我局《财务管理制度》《专项资金管理办法》《政府采购内控制度》等组织实施，由我局重点办组织实施，竣工验收由业务股室牵头，机关纪委监督，办公室、财务股、督查股等部门参与，全过程监督项目实施。</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4．项目绩效情况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通过财政对项目的资金保障，专人负责项目推进实施，进一步节约政府城市管理和拆违控违成本，提升城市亮化水平，减少城市市容乱象，改善城市市民生活环境，提升城管执法队伍形象，市容秩序规范有序，市民对城市管理工作满意度持续提升。</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5．综合评价情况及评价结论</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我局按照《沅江市财政局关于做好2022年度预算绩效自主工作的通知》（沅财绩﹝2023﹞1号）要求，组织本部门开展绩效自评工作。部门整体绩效自评分91分，为“优”等级。（附相关评分表）</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6．绩效评价结果应用建议</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绩效评价结果已在市人民政府门户网站上公开，接受社会监督，同时将绩效评价结果与预算安排相结合，加大评价结果向社会公开的力度，提高资金使用效率。</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7．主要经验及做法</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项目支出实施先申报后支出，达到政府采购限额严格按照相关要求执行，原则上不新增项目支出，确因工作需要新增的项目支出，需明确资金来源后经局务会讨论再组织实施。</w:t>
      </w:r>
    </w:p>
    <w:p>
      <w:pPr>
        <w:pStyle w:val="4"/>
        <w:spacing w:before="0" w:beforeAutospacing="0" w:after="0" w:afterAutospacing="0" w:line="600" w:lineRule="exact"/>
        <w:ind w:firstLine="640" w:firstLineChars="200"/>
        <w:jc w:val="both"/>
        <w:textAlignment w:val="center"/>
        <w:rPr>
          <w:rFonts w:ascii="黑体" w:hAnsi="黑体" w:eastAsia="黑体"/>
          <w:color w:val="000000"/>
          <w:sz w:val="32"/>
          <w:szCs w:val="32"/>
        </w:rPr>
      </w:pPr>
      <w:r>
        <w:rPr>
          <w:rFonts w:hint="eastAsia" w:ascii="黑体" w:hAnsi="黑体" w:eastAsia="黑体"/>
          <w:color w:val="000000"/>
          <w:sz w:val="32"/>
          <w:szCs w:val="32"/>
        </w:rPr>
        <w:t>六、存在的主要问题</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（一）预算编制科学和合理性有待提升。提高预算编制能力，强化预算执行，缩小预算差距。</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（二）强化项目申报和管理。城市管理很多急且任务重的工作，存在未列入项目预算但又急需执行的项目，由于项目申报流程需要及有资金缺口，影响项目执行。</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七、改进措施和有关建议</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一是加强预算编制学习；二是保障城市管理项目经费。</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八、单位在资金管理、项目管理等方面的先进经验及做法</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无。</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九、部门整体支出绩效评价等级</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2022年，我局对照年初预定绩效目标严格组织实施，项目资金使用及管理规范，规章制度的落实到位，部门整体支出绩效评价得分</w:t>
      </w:r>
      <w:r>
        <w:rPr>
          <w:rFonts w:hint="eastAsia" w:ascii="仿宋" w:hAnsi="仿宋" w:eastAsia="仿宋"/>
          <w:b/>
          <w:color w:val="333333"/>
          <w:sz w:val="32"/>
          <w:szCs w:val="32"/>
        </w:rPr>
        <w:t>91</w:t>
      </w:r>
      <w:r>
        <w:rPr>
          <w:rFonts w:hint="eastAsia" w:ascii="仿宋" w:hAnsi="仿宋" w:eastAsia="仿宋"/>
          <w:color w:val="333333"/>
          <w:sz w:val="32"/>
          <w:szCs w:val="32"/>
        </w:rPr>
        <w:t>分，绩效评价等级为“优”。</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附件：1.部门整体支出绩效评价基础数据表</w:t>
      </w:r>
    </w:p>
    <w:p>
      <w:pPr>
        <w:pStyle w:val="4"/>
        <w:spacing w:before="0" w:beforeAutospacing="0" w:after="0" w:afterAutospacing="0" w:line="600" w:lineRule="exact"/>
        <w:ind w:firstLine="1600" w:firstLineChars="500"/>
        <w:jc w:val="both"/>
        <w:textAlignment w:val="center"/>
        <w:rPr>
          <w:rFonts w:ascii="仿宋" w:hAnsi="仿宋" w:eastAsia="仿宋"/>
          <w:color w:val="333333"/>
          <w:sz w:val="32"/>
          <w:szCs w:val="32"/>
        </w:rPr>
      </w:pPr>
      <w:r>
        <w:rPr>
          <w:rFonts w:hint="eastAsia" w:ascii="仿宋" w:hAnsi="仿宋" w:eastAsia="仿宋"/>
          <w:color w:val="333333"/>
          <w:sz w:val="32"/>
          <w:szCs w:val="32"/>
        </w:rPr>
        <w:t>2.2022年部门整体支出绩效自评表</w:t>
      </w:r>
    </w:p>
    <w:p>
      <w:pPr>
        <w:pStyle w:val="4"/>
        <w:spacing w:before="0" w:beforeAutospacing="0" w:after="0" w:afterAutospacing="0" w:line="600" w:lineRule="exact"/>
        <w:ind w:firstLine="1600" w:firstLineChars="500"/>
        <w:jc w:val="both"/>
        <w:textAlignment w:val="center"/>
        <w:rPr>
          <w:rFonts w:ascii="仿宋" w:hAnsi="仿宋" w:eastAsia="仿宋"/>
          <w:color w:val="333333"/>
          <w:sz w:val="32"/>
          <w:szCs w:val="32"/>
        </w:rPr>
      </w:pPr>
      <w:r>
        <w:rPr>
          <w:rFonts w:hint="eastAsia" w:ascii="仿宋" w:hAnsi="仿宋" w:eastAsia="仿宋"/>
          <w:color w:val="333333"/>
          <w:sz w:val="32"/>
          <w:szCs w:val="32"/>
        </w:rPr>
        <w:t>3.2022年部门项目支出绩效自评表</w:t>
      </w:r>
    </w:p>
    <w:p>
      <w:pPr>
        <w:spacing w:line="560" w:lineRule="exact"/>
        <w:ind w:firstLine="3680" w:firstLineChars="1150"/>
        <w:rPr>
          <w:rFonts w:ascii="仿宋" w:hAnsi="仿宋" w:eastAsia="仿宋"/>
          <w:bCs/>
          <w:sz w:val="32"/>
          <w:szCs w:val="32"/>
        </w:rPr>
      </w:pPr>
    </w:p>
    <w:p>
      <w:pPr>
        <w:spacing w:line="560" w:lineRule="exact"/>
        <w:ind w:firstLine="3680" w:firstLineChars="1150"/>
        <w:rPr>
          <w:rFonts w:ascii="仿宋" w:hAnsi="仿宋" w:eastAsia="仿宋"/>
          <w:bCs/>
          <w:sz w:val="32"/>
          <w:szCs w:val="32"/>
        </w:rPr>
      </w:pPr>
    </w:p>
    <w:p>
      <w:pPr>
        <w:spacing w:line="560" w:lineRule="exact"/>
        <w:ind w:firstLine="3680" w:firstLineChars="1150"/>
        <w:rPr>
          <w:rFonts w:ascii="仿宋" w:hAnsi="仿宋" w:eastAsia="仿宋"/>
          <w:bCs/>
          <w:sz w:val="32"/>
          <w:szCs w:val="32"/>
        </w:rPr>
      </w:pPr>
      <w:r>
        <w:rPr>
          <w:rFonts w:hint="eastAsia" w:ascii="仿宋" w:hAnsi="仿宋" w:eastAsia="仿宋"/>
          <w:bCs/>
          <w:sz w:val="32"/>
          <w:szCs w:val="32"/>
        </w:rPr>
        <w:t>沅江市城市管理和综合执法局　　</w:t>
      </w:r>
    </w:p>
    <w:p>
      <w:pPr>
        <w:spacing w:line="560" w:lineRule="exact"/>
        <w:ind w:firstLine="4480" w:firstLineChars="1400"/>
        <w:rPr>
          <w:rFonts w:ascii="仿宋" w:hAnsi="仿宋" w:eastAsia="仿宋"/>
          <w:bCs/>
          <w:sz w:val="32"/>
          <w:szCs w:val="32"/>
        </w:rPr>
      </w:pPr>
      <w:r>
        <w:rPr>
          <w:rFonts w:hint="eastAsia" w:ascii="仿宋" w:hAnsi="仿宋" w:eastAsia="仿宋"/>
          <w:bCs/>
          <w:sz w:val="32"/>
          <w:szCs w:val="32"/>
        </w:rPr>
        <w:t>2023年4月6日</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ODlmZmVjOTdkNTVjZjkyYWUyZTJjY2ZkNzY0ZGMifQ=="/>
  </w:docVars>
  <w:rsids>
    <w:rsidRoot w:val="001D5169"/>
    <w:rsid w:val="00014EDE"/>
    <w:rsid w:val="00022FC9"/>
    <w:rsid w:val="0004010F"/>
    <w:rsid w:val="000447D2"/>
    <w:rsid w:val="00150D7E"/>
    <w:rsid w:val="00171E59"/>
    <w:rsid w:val="001A0A39"/>
    <w:rsid w:val="001A2608"/>
    <w:rsid w:val="001D5169"/>
    <w:rsid w:val="00205C3C"/>
    <w:rsid w:val="002218ED"/>
    <w:rsid w:val="0024295F"/>
    <w:rsid w:val="002464A7"/>
    <w:rsid w:val="00266294"/>
    <w:rsid w:val="00275B0C"/>
    <w:rsid w:val="00275E54"/>
    <w:rsid w:val="002760F3"/>
    <w:rsid w:val="002B3DBB"/>
    <w:rsid w:val="002D5EFC"/>
    <w:rsid w:val="002F105F"/>
    <w:rsid w:val="00334136"/>
    <w:rsid w:val="0038300C"/>
    <w:rsid w:val="00404858"/>
    <w:rsid w:val="004521E5"/>
    <w:rsid w:val="00456E0C"/>
    <w:rsid w:val="004C43F1"/>
    <w:rsid w:val="004D2238"/>
    <w:rsid w:val="004F4489"/>
    <w:rsid w:val="0052096A"/>
    <w:rsid w:val="005658FB"/>
    <w:rsid w:val="005A0207"/>
    <w:rsid w:val="005A231D"/>
    <w:rsid w:val="005E76AA"/>
    <w:rsid w:val="005F588F"/>
    <w:rsid w:val="006545E8"/>
    <w:rsid w:val="00666223"/>
    <w:rsid w:val="006856E7"/>
    <w:rsid w:val="006D2708"/>
    <w:rsid w:val="006F04FE"/>
    <w:rsid w:val="007C7BBA"/>
    <w:rsid w:val="007F4F91"/>
    <w:rsid w:val="008760DD"/>
    <w:rsid w:val="00877034"/>
    <w:rsid w:val="008B1B5B"/>
    <w:rsid w:val="008D06DE"/>
    <w:rsid w:val="00A805C5"/>
    <w:rsid w:val="00A946CE"/>
    <w:rsid w:val="00B37626"/>
    <w:rsid w:val="00B75DF9"/>
    <w:rsid w:val="00BA4047"/>
    <w:rsid w:val="00BC1D74"/>
    <w:rsid w:val="00C61E2B"/>
    <w:rsid w:val="00CA2981"/>
    <w:rsid w:val="00CA7E10"/>
    <w:rsid w:val="00CC4E95"/>
    <w:rsid w:val="00CD3138"/>
    <w:rsid w:val="00CF0B3E"/>
    <w:rsid w:val="00D77C92"/>
    <w:rsid w:val="00D97CF9"/>
    <w:rsid w:val="00DD0755"/>
    <w:rsid w:val="00DD402C"/>
    <w:rsid w:val="00E07CDD"/>
    <w:rsid w:val="00E625D8"/>
    <w:rsid w:val="00ED115D"/>
    <w:rsid w:val="00EE6F92"/>
    <w:rsid w:val="00F04066"/>
    <w:rsid w:val="00F12BF2"/>
    <w:rsid w:val="00F17299"/>
    <w:rsid w:val="03EF77CB"/>
    <w:rsid w:val="4A90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uiPriority w:val="99"/>
    <w:rPr>
      <w:kern w:val="2"/>
      <w:sz w:val="18"/>
      <w:szCs w:val="18"/>
    </w:rPr>
  </w:style>
  <w:style w:type="character" w:customStyle="1" w:styleId="8">
    <w:name w:val="页脚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1010</Words>
  <Characters>5758</Characters>
  <Lines>47</Lines>
  <Paragraphs>13</Paragraphs>
  <TotalTime>11</TotalTime>
  <ScaleCrop>false</ScaleCrop>
  <LinksUpToDate>false</LinksUpToDate>
  <CharactersWithSpaces>6755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2023-04-06T07:13:00Z</dcterms:created>
  <dc:creator>Administrator</dc:creator>
  <cp:lastModifiedBy>孙泽宇</cp:lastModifiedBy>
  <cp:lastPrinted>2023-04-06T07:14:00Z</cp:lastPrinted>
  <dcterms:modified xsi:type="dcterms:W3CDTF">2023-11-09T03:08:07Z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4BA58E77BE8A47E2B4C63671B4B56068_13</vt:lpwstr>
  </property>
</Properties>
</file>