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8"/>
          <w:szCs w:val="28"/>
        </w:rPr>
      </w:pPr>
      <w:bookmarkStart w:id="0" w:name="_GoBack"/>
      <w:bookmarkEnd w:id="0"/>
    </w:p>
    <w:p>
      <w:pPr>
        <w:jc w:val="center"/>
        <w:rPr>
          <w:rFonts w:asciiTheme="minorEastAsia" w:hAnsiTheme="minorEastAsia"/>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2022年度沅江市自然资源局整体支出</w:t>
      </w:r>
    </w:p>
    <w:p>
      <w:pPr>
        <w:jc w:val="center"/>
        <w:rPr>
          <w:rFonts w:ascii="方正小标宋简体" w:eastAsia="方正小标宋简体"/>
          <w:sz w:val="44"/>
          <w:szCs w:val="44"/>
        </w:rPr>
      </w:pPr>
      <w:r>
        <w:rPr>
          <w:rFonts w:hint="eastAsia" w:ascii="方正小标宋简体" w:eastAsia="方正小标宋简体"/>
          <w:sz w:val="44"/>
          <w:szCs w:val="44"/>
        </w:rPr>
        <w:t>绩效自评报告</w:t>
      </w: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r>
        <w:rPr>
          <w:rFonts w:hint="eastAsia" w:asciiTheme="minorEastAsia" w:hAnsiTheme="minorEastAsia"/>
          <w:sz w:val="28"/>
          <w:szCs w:val="28"/>
        </w:rPr>
        <w:t>单位名称：沅江市自然资源交易服务所</w:t>
      </w:r>
    </w:p>
    <w:p>
      <w:pPr>
        <w:jc w:val="center"/>
        <w:rPr>
          <w:rFonts w:asciiTheme="minorEastAsia" w:hAnsiTheme="minorEastAsia"/>
          <w:sz w:val="28"/>
          <w:szCs w:val="28"/>
        </w:rPr>
      </w:pPr>
      <w:r>
        <w:rPr>
          <w:rFonts w:hint="eastAsia" w:asciiTheme="minorEastAsia" w:hAnsiTheme="minorEastAsia"/>
          <w:sz w:val="28"/>
          <w:szCs w:val="28"/>
        </w:rPr>
        <w:t>2023年4月10日</w:t>
      </w: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2022年度沅江市自然资源交易服务所</w:t>
      </w:r>
    </w:p>
    <w:p>
      <w:pPr>
        <w:jc w:val="center"/>
        <w:rPr>
          <w:rFonts w:ascii="方正小标宋简体" w:eastAsia="方正小标宋简体"/>
          <w:sz w:val="44"/>
          <w:szCs w:val="44"/>
        </w:rPr>
      </w:pPr>
      <w:r>
        <w:rPr>
          <w:rFonts w:hint="eastAsia" w:ascii="方正小标宋简体" w:eastAsia="方正小标宋简体"/>
          <w:sz w:val="44"/>
          <w:szCs w:val="44"/>
        </w:rPr>
        <w:t>整体支出绩效自评报告</w:t>
      </w:r>
    </w:p>
    <w:p>
      <w:pPr>
        <w:jc w:val="center"/>
        <w:rPr>
          <w:rFonts w:ascii="方正小标宋简体" w:eastAsia="方正小标宋简体"/>
          <w:sz w:val="44"/>
          <w:szCs w:val="44"/>
        </w:rPr>
      </w:pPr>
    </w:p>
    <w:p>
      <w:pPr>
        <w:jc w:val="left"/>
        <w:rPr>
          <w:rFonts w:asciiTheme="minorEastAsia" w:hAnsiTheme="minorEastAsia"/>
          <w:sz w:val="28"/>
          <w:szCs w:val="28"/>
        </w:rPr>
      </w:pPr>
      <w:r>
        <w:rPr>
          <w:rFonts w:hint="eastAsia" w:asciiTheme="minorEastAsia" w:hAnsiTheme="minorEastAsia"/>
          <w:sz w:val="28"/>
          <w:szCs w:val="28"/>
        </w:rPr>
        <w:t xml:space="preserve">    为进一步规范财政资金管理，强化财政支出绩效理念和责任意识，推动预算绩效管理提质增效，按照《</w:t>
      </w:r>
      <w:r>
        <w:rPr>
          <w:rFonts w:asciiTheme="minorEastAsia" w:hAnsiTheme="minorEastAsia"/>
          <w:sz w:val="28"/>
          <w:szCs w:val="28"/>
        </w:rPr>
        <w:t>湖南省财政厅关于开展</w:t>
      </w:r>
      <w:r>
        <w:rPr>
          <w:rFonts w:hint="eastAsia" w:asciiTheme="minorEastAsia" w:hAnsiTheme="minorEastAsia"/>
          <w:sz w:val="28"/>
          <w:szCs w:val="28"/>
        </w:rPr>
        <w:t>2022年度部门整体支出绩效自评和省级专项资金部门评价工作的通知》（湘财绩〔2023〕1号），我局成立了整体支出绩效自评小组，组织对2022年度本部门整体支出进行了绩效自评。</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一、单位基本情况</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bCs/>
          <w:sz w:val="28"/>
          <w:szCs w:val="28"/>
        </w:rPr>
        <w:t xml:space="preserve">    </w:t>
      </w:r>
      <w:r>
        <w:rPr>
          <w:rFonts w:hint="eastAsia" w:ascii="仿宋_GB2312" w:hAnsi="仿宋_GB2312" w:eastAsia="仿宋_GB2312" w:cs="宋体"/>
          <w:b/>
          <w:bCs/>
          <w:color w:val="333333"/>
          <w:kern w:val="0"/>
          <w:sz w:val="28"/>
          <w:szCs w:val="28"/>
        </w:rPr>
        <w:t>（一）机构设置情况</w:t>
      </w:r>
    </w:p>
    <w:p>
      <w:pPr>
        <w:widowControl/>
        <w:shd w:val="clear" w:color="auto" w:fill="FFFFFF"/>
        <w:spacing w:line="160" w:lineRule="atLeast"/>
        <w:ind w:firstLine="560" w:firstLineChars="200"/>
        <w:rPr>
          <w:rFonts w:ascii="仿宋_GB2312" w:hAnsi="仿宋_GB2312" w:cs="宋体"/>
          <w:bCs/>
          <w:color w:val="333333"/>
          <w:kern w:val="0"/>
          <w:sz w:val="28"/>
          <w:szCs w:val="30"/>
        </w:rPr>
      </w:pPr>
      <w:r>
        <w:rPr>
          <w:rFonts w:hint="eastAsia" w:ascii="仿宋_GB2312" w:eastAsia="仿宋_GB2312" w:hAnsiTheme="minorEastAsia"/>
          <w:bCs/>
          <w:sz w:val="28"/>
          <w:szCs w:val="28"/>
        </w:rPr>
        <w:t xml:space="preserve">  </w:t>
      </w:r>
      <w:r>
        <w:rPr>
          <w:rFonts w:hint="eastAsia" w:asciiTheme="minorEastAsia" w:hAnsiTheme="minorEastAsia"/>
          <w:sz w:val="28"/>
          <w:szCs w:val="28"/>
        </w:rPr>
        <w:t xml:space="preserve">  </w:t>
      </w:r>
      <w:r>
        <w:rPr>
          <w:rFonts w:ascii="仿宋_GB2312" w:hAnsi="仿宋_GB2312" w:cs="宋体"/>
          <w:bCs/>
          <w:color w:val="333333"/>
          <w:kern w:val="0"/>
          <w:sz w:val="28"/>
          <w:szCs w:val="30"/>
        </w:rPr>
        <w:t>根据编委核定，</w:t>
      </w:r>
      <w:r>
        <w:rPr>
          <w:rFonts w:hint="eastAsia" w:ascii="仿宋_GB2312" w:hAnsi="仿宋_GB2312" w:cs="宋体"/>
          <w:bCs/>
          <w:color w:val="333333"/>
          <w:kern w:val="0"/>
          <w:sz w:val="28"/>
          <w:szCs w:val="30"/>
        </w:rPr>
        <w:t>我单位是沅江市自然资源局下设股级二级机构。2021年年末，</w:t>
      </w:r>
      <w:r>
        <w:rPr>
          <w:rFonts w:ascii="仿宋_GB2312" w:hAnsi="仿宋_GB2312" w:cs="宋体"/>
          <w:bCs/>
          <w:color w:val="333333"/>
          <w:kern w:val="0"/>
          <w:sz w:val="28"/>
          <w:szCs w:val="30"/>
        </w:rPr>
        <w:t>纳入单位预算编制</w:t>
      </w:r>
      <w:r>
        <w:rPr>
          <w:rFonts w:hint="eastAsia" w:ascii="仿宋_GB2312" w:hAnsi="仿宋_GB2312" w:cs="宋体"/>
          <w:bCs/>
          <w:color w:val="333333"/>
          <w:kern w:val="0"/>
          <w:sz w:val="28"/>
          <w:szCs w:val="30"/>
        </w:rPr>
        <w:t>13</w:t>
      </w:r>
      <w:r>
        <w:rPr>
          <w:rFonts w:ascii="仿宋_GB2312" w:hAnsi="仿宋_GB2312" w:cs="宋体"/>
          <w:bCs/>
          <w:color w:val="333333"/>
          <w:kern w:val="0"/>
          <w:sz w:val="28"/>
          <w:szCs w:val="30"/>
        </w:rPr>
        <w:t>人</w:t>
      </w:r>
      <w:r>
        <w:rPr>
          <w:rFonts w:hint="eastAsia" w:ascii="仿宋_GB2312" w:hAnsi="仿宋_GB2312" w:cs="宋体"/>
          <w:bCs/>
          <w:color w:val="333333"/>
          <w:kern w:val="0"/>
          <w:sz w:val="28"/>
          <w:szCs w:val="30"/>
        </w:rPr>
        <w:t>，实有在职人员10，退休人员3人</w:t>
      </w:r>
      <w:r>
        <w:rPr>
          <w:rFonts w:ascii="仿宋_GB2312" w:hAnsi="仿宋_GB2312" w:cs="宋体"/>
          <w:bCs/>
          <w:color w:val="333333"/>
          <w:kern w:val="0"/>
          <w:sz w:val="28"/>
          <w:szCs w:val="30"/>
        </w:rPr>
        <w:t>。</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（二）人员情况</w:t>
      </w:r>
    </w:p>
    <w:p>
      <w:pPr>
        <w:jc w:val="left"/>
        <w:rPr>
          <w:rFonts w:asciiTheme="minorEastAsia" w:hAnsiTheme="minorEastAsia"/>
          <w:sz w:val="28"/>
          <w:szCs w:val="28"/>
        </w:rPr>
      </w:pPr>
      <w:r>
        <w:rPr>
          <w:rFonts w:hint="eastAsia" w:asciiTheme="minorEastAsia" w:hAnsiTheme="minorEastAsia"/>
          <w:sz w:val="28"/>
          <w:szCs w:val="28"/>
        </w:rPr>
        <w:t xml:space="preserve">    2022年度年初核定批复我单位人员编制数为10人，预算批复人数10人，在职10人，退休3人。</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w:t>
      </w:r>
      <w:r>
        <w:rPr>
          <w:rFonts w:ascii="仿宋_GB2312" w:hAnsi="仿宋_GB2312" w:eastAsia="仿宋_GB2312" w:cs="宋体"/>
          <w:b/>
          <w:bCs/>
          <w:color w:val="333333"/>
          <w:kern w:val="0"/>
          <w:sz w:val="28"/>
          <w:szCs w:val="28"/>
        </w:rPr>
        <w:t>（</w:t>
      </w:r>
      <w:r>
        <w:rPr>
          <w:rFonts w:hint="eastAsia" w:ascii="仿宋_GB2312" w:hAnsi="仿宋_GB2312" w:eastAsia="仿宋_GB2312" w:cs="宋体"/>
          <w:b/>
          <w:bCs/>
          <w:color w:val="333333"/>
          <w:kern w:val="0"/>
          <w:sz w:val="28"/>
          <w:szCs w:val="28"/>
        </w:rPr>
        <w:t>三</w:t>
      </w:r>
      <w:r>
        <w:rPr>
          <w:rFonts w:ascii="仿宋_GB2312" w:hAnsi="仿宋_GB2312" w:eastAsia="仿宋_GB2312" w:cs="宋体"/>
          <w:b/>
          <w:bCs/>
          <w:color w:val="333333"/>
          <w:kern w:val="0"/>
          <w:sz w:val="28"/>
          <w:szCs w:val="28"/>
        </w:rPr>
        <w:t>）单位</w:t>
      </w:r>
      <w:r>
        <w:rPr>
          <w:rFonts w:hint="eastAsia" w:ascii="仿宋_GB2312" w:hAnsi="仿宋_GB2312" w:eastAsia="仿宋_GB2312" w:cs="宋体"/>
          <w:b/>
          <w:bCs/>
          <w:color w:val="333333"/>
          <w:kern w:val="0"/>
          <w:sz w:val="28"/>
          <w:szCs w:val="28"/>
        </w:rPr>
        <w:t>主要职责</w:t>
      </w:r>
    </w:p>
    <w:p>
      <w:pPr>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1.</w:t>
      </w:r>
      <w:r>
        <w:rPr>
          <w:rFonts w:hint="eastAsia" w:asciiTheme="minorEastAsia" w:hAnsiTheme="minorEastAsia"/>
          <w:sz w:val="28"/>
          <w:szCs w:val="28"/>
        </w:rPr>
        <w:t>依法受理国有建设用地所有权、矿业权出让申请并提供相关服务。</w:t>
      </w:r>
    </w:p>
    <w:p>
      <w:pPr>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2.</w:t>
      </w:r>
      <w:r>
        <w:rPr>
          <w:rFonts w:hint="eastAsia" w:asciiTheme="minorEastAsia" w:hAnsiTheme="minorEastAsia"/>
          <w:sz w:val="28"/>
          <w:szCs w:val="28"/>
        </w:rPr>
        <w:t>负责收集、上报自然资源交易信息。</w:t>
      </w:r>
    </w:p>
    <w:p>
      <w:pPr>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 xml:space="preserve"> 3.</w:t>
      </w:r>
      <w:r>
        <w:rPr>
          <w:rFonts w:hint="eastAsia" w:asciiTheme="minorEastAsia" w:hAnsiTheme="minorEastAsia"/>
          <w:sz w:val="28"/>
          <w:szCs w:val="28"/>
        </w:rPr>
        <w:t>为交易双方、中介机构、有关监管部门提供信息咨询服务。</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（四）</w:t>
      </w:r>
      <w:r>
        <w:rPr>
          <w:rFonts w:ascii="仿宋_GB2312" w:hAnsi="仿宋_GB2312" w:eastAsia="仿宋_GB2312" w:cs="宋体"/>
          <w:b/>
          <w:bCs/>
          <w:color w:val="333333"/>
          <w:kern w:val="0"/>
          <w:sz w:val="28"/>
          <w:szCs w:val="28"/>
        </w:rPr>
        <w:t>部门整体支出规模、使用方向、主要内容和涉及范围</w:t>
      </w:r>
    </w:p>
    <w:p>
      <w:pPr>
        <w:jc w:val="left"/>
        <w:rPr>
          <w:rFonts w:asciiTheme="minorEastAsia" w:hAnsiTheme="minorEastAsia"/>
          <w:sz w:val="28"/>
          <w:szCs w:val="28"/>
        </w:rPr>
      </w:pPr>
      <w:r>
        <w:rPr>
          <w:rFonts w:hint="eastAsia" w:asciiTheme="minorEastAsia" w:hAnsiTheme="minorEastAsia"/>
          <w:sz w:val="28"/>
          <w:szCs w:val="28"/>
        </w:rPr>
        <w:t xml:space="preserve">    2022年度收入总计：140.16万元。其中财政拨款收入103.37万元；其他收入：36.79万元，年初结余163.78万元。本年度支出总计：114.06万元。按支出性质区分，基本支出：114.06万元，占比100%；项目支出：0万元，占比0%，年末结余189.88万元。</w:t>
      </w:r>
    </w:p>
    <w:p>
      <w:pPr>
        <w:jc w:val="left"/>
        <w:rPr>
          <w:rFonts w:asciiTheme="minorEastAsia" w:hAnsiTheme="minorEastAsia"/>
          <w:sz w:val="28"/>
          <w:szCs w:val="28"/>
        </w:rPr>
      </w:pPr>
      <w:r>
        <w:rPr>
          <w:rFonts w:hint="eastAsia" w:asciiTheme="minorEastAsia" w:hAnsiTheme="minorEastAsia"/>
          <w:sz w:val="28"/>
          <w:szCs w:val="28"/>
        </w:rPr>
        <w:t xml:space="preserve">    主要支出方向、内容和范围：自然资源海洋气象等支出、住房保障支出等。</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二、整体支出资金使用及管理情况</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sz w:val="28"/>
          <w:szCs w:val="28"/>
        </w:rPr>
        <w:t xml:space="preserve">    </w:t>
      </w:r>
      <w:r>
        <w:rPr>
          <w:rFonts w:hint="eastAsia" w:ascii="仿宋_GB2312" w:hAnsi="仿宋_GB2312" w:eastAsia="仿宋_GB2312" w:cs="宋体"/>
          <w:b/>
          <w:bCs/>
          <w:color w:val="333333"/>
          <w:kern w:val="0"/>
          <w:sz w:val="28"/>
          <w:szCs w:val="28"/>
        </w:rPr>
        <w:t>（一）基本支出</w:t>
      </w:r>
    </w:p>
    <w:p>
      <w:pPr>
        <w:jc w:val="left"/>
        <w:rPr>
          <w:rFonts w:ascii="仿宋_GB2312" w:eastAsia="仿宋_GB2312" w:hAnsiTheme="minorEastAsia"/>
          <w:sz w:val="28"/>
          <w:szCs w:val="28"/>
        </w:rPr>
      </w:pPr>
      <w:r>
        <w:rPr>
          <w:rFonts w:hint="eastAsia" w:ascii="仿宋_GB2312" w:eastAsia="仿宋_GB2312" w:hAnsiTheme="minorEastAsia"/>
          <w:sz w:val="28"/>
          <w:szCs w:val="28"/>
        </w:rPr>
        <w:t xml:space="preserve">    2022年度基本支出总计：</w:t>
      </w:r>
      <w:r>
        <w:rPr>
          <w:rFonts w:hint="eastAsia" w:asciiTheme="minorEastAsia" w:hAnsiTheme="minorEastAsia"/>
          <w:sz w:val="28"/>
          <w:szCs w:val="28"/>
        </w:rPr>
        <w:t>114.06</w:t>
      </w:r>
      <w:r>
        <w:rPr>
          <w:rFonts w:hint="eastAsia" w:ascii="仿宋_GB2312" w:eastAsia="仿宋_GB2312" w:hAnsiTheme="minorEastAsia"/>
          <w:sz w:val="28"/>
          <w:szCs w:val="28"/>
        </w:rPr>
        <w:t>，较上年减少3.37万元，减幅2.87%，主要是因为主动压缩运营经费。按项目分类其中：工资福利支出：104.07万元；商品和服务支出：9.75万元；对家庭和个人的补助：0.24万元。</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sz w:val="28"/>
          <w:szCs w:val="28"/>
        </w:rPr>
        <w:t xml:space="preserve">    </w:t>
      </w:r>
      <w:r>
        <w:rPr>
          <w:rFonts w:hint="eastAsia" w:ascii="仿宋_GB2312" w:hAnsi="仿宋_GB2312" w:eastAsia="仿宋_GB2312" w:cs="宋体"/>
          <w:b/>
          <w:bCs/>
          <w:color w:val="333333"/>
          <w:kern w:val="0"/>
          <w:sz w:val="28"/>
          <w:szCs w:val="28"/>
        </w:rPr>
        <w:t>（二）项目支出</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1、项目资金总体情况</w:t>
      </w:r>
    </w:p>
    <w:p>
      <w:pPr>
        <w:jc w:val="left"/>
        <w:rPr>
          <w:rFonts w:asciiTheme="minorEastAsia" w:hAnsiTheme="minorEastAsia"/>
          <w:sz w:val="28"/>
          <w:szCs w:val="28"/>
        </w:rPr>
      </w:pPr>
      <w:r>
        <w:rPr>
          <w:rFonts w:hint="eastAsia" w:ascii="仿宋_GB2312" w:eastAsia="仿宋_GB2312" w:hAnsiTheme="minorEastAsia"/>
          <w:sz w:val="28"/>
          <w:szCs w:val="28"/>
        </w:rPr>
        <w:t xml:space="preserve">    2022年度项目支出总计：</w:t>
      </w:r>
      <w:r>
        <w:rPr>
          <w:rFonts w:hint="eastAsia" w:asciiTheme="minorEastAsia" w:hAnsiTheme="minorEastAsia"/>
          <w:sz w:val="28"/>
          <w:szCs w:val="28"/>
        </w:rPr>
        <w:t>0万元，较上年增加0万元，增幅0%，</w:t>
      </w:r>
      <w:r>
        <w:rPr>
          <w:rFonts w:asciiTheme="minorEastAsia" w:hAnsiTheme="minorEastAsia"/>
          <w:sz w:val="28"/>
          <w:szCs w:val="28"/>
        </w:rPr>
        <w:t xml:space="preserve"> </w:t>
      </w:r>
    </w:p>
    <w:p>
      <w:pPr>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2、项目资金使用情况</w:t>
      </w:r>
    </w:p>
    <w:p>
      <w:pPr>
        <w:jc w:val="left"/>
        <w:rPr>
          <w:rFonts w:asciiTheme="minorEastAsia" w:hAnsiTheme="minorEastAsia"/>
          <w:sz w:val="28"/>
          <w:szCs w:val="28"/>
        </w:rPr>
      </w:pPr>
      <w:r>
        <w:rPr>
          <w:rFonts w:hint="eastAsia" w:asciiTheme="minorEastAsia" w:hAnsiTheme="minorEastAsia"/>
          <w:sz w:val="28"/>
          <w:szCs w:val="28"/>
        </w:rPr>
        <w:t xml:space="preserve">    2022年度项目总计0项。</w:t>
      </w:r>
    </w:p>
    <w:p>
      <w:pPr>
        <w:jc w:val="left"/>
        <w:rPr>
          <w:rFonts w:ascii="仿宋_GB2312" w:hAnsi="仿宋_GB2312" w:eastAsia="仿宋_GB2312" w:cs="宋体"/>
          <w:b/>
          <w:bCs/>
          <w:color w:val="333333"/>
          <w:kern w:val="0"/>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（三）整体支出管理情况</w:t>
      </w:r>
    </w:p>
    <w:p>
      <w:pPr>
        <w:rPr>
          <w:rFonts w:asciiTheme="minorEastAsia" w:hAnsiTheme="minorEastAsia"/>
          <w:sz w:val="28"/>
          <w:szCs w:val="28"/>
        </w:rPr>
      </w:pPr>
      <w:r>
        <w:rPr>
          <w:rFonts w:hint="eastAsia" w:asciiTheme="minorEastAsia" w:hAnsiTheme="minorEastAsia"/>
          <w:sz w:val="28"/>
          <w:szCs w:val="28"/>
        </w:rPr>
        <w:t xml:space="preserve">    整体</w:t>
      </w:r>
      <w:r>
        <w:rPr>
          <w:rFonts w:asciiTheme="minorEastAsia" w:hAnsiTheme="minorEastAsia"/>
          <w:sz w:val="28"/>
          <w:szCs w:val="28"/>
        </w:rPr>
        <w:t>支出严格按照</w:t>
      </w:r>
      <w:r>
        <w:rPr>
          <w:rFonts w:hint="eastAsia" w:asciiTheme="minorEastAsia" w:hAnsiTheme="minorEastAsia"/>
          <w:sz w:val="28"/>
          <w:szCs w:val="28"/>
        </w:rPr>
        <w:t>有关法律、法规、政策</w:t>
      </w:r>
      <w:r>
        <w:rPr>
          <w:rFonts w:asciiTheme="minorEastAsia" w:hAnsiTheme="minorEastAsia"/>
          <w:sz w:val="28"/>
          <w:szCs w:val="28"/>
        </w:rPr>
        <w:t>规定执行，把资金的审批分配、监督检查与绩效评价结合起来。资金支出</w:t>
      </w:r>
      <w:r>
        <w:rPr>
          <w:rFonts w:hint="eastAsia" w:asciiTheme="minorEastAsia" w:hAnsiTheme="minorEastAsia"/>
          <w:sz w:val="28"/>
          <w:szCs w:val="28"/>
        </w:rPr>
        <w:t>全部经</w:t>
      </w:r>
      <w:r>
        <w:rPr>
          <w:rFonts w:asciiTheme="minorEastAsia" w:hAnsiTheme="minorEastAsia"/>
          <w:sz w:val="28"/>
          <w:szCs w:val="28"/>
        </w:rPr>
        <w:t>由国库集中支付，遵循先预算、再审批、后支出的原则，确保了财政资金分配和财政审批程序合法、保证了资金的合理使用。</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sz w:val="28"/>
          <w:szCs w:val="28"/>
        </w:rPr>
        <w:t xml:space="preserve">   </w:t>
      </w:r>
      <w:r>
        <w:rPr>
          <w:rFonts w:hint="eastAsia" w:ascii="仿宋_GB2312" w:hAnsi="仿宋_GB2312" w:eastAsia="仿宋_GB2312" w:cs="宋体"/>
          <w:b/>
          <w:bCs/>
          <w:color w:val="333333"/>
          <w:kern w:val="0"/>
          <w:sz w:val="28"/>
          <w:szCs w:val="28"/>
        </w:rPr>
        <w:t xml:space="preserve"> 三、单位整体支出绩效情况</w:t>
      </w:r>
    </w:p>
    <w:p>
      <w:pPr>
        <w:jc w:val="left"/>
        <w:rPr>
          <w:rFonts w:ascii="仿宋_GB2312" w:hAnsi="仿宋_GB2312" w:eastAsia="仿宋_GB2312" w:cs="宋体"/>
          <w:b/>
          <w:bCs/>
          <w:color w:val="333333"/>
          <w:kern w:val="0"/>
          <w:sz w:val="28"/>
          <w:szCs w:val="28"/>
        </w:rPr>
      </w:pPr>
      <w:r>
        <w:rPr>
          <w:rFonts w:hint="eastAsia" w:ascii="仿宋_GB2312" w:hAnsi="仿宋_GB2312" w:eastAsia="仿宋_GB2312" w:cs="宋体"/>
          <w:b/>
          <w:bCs/>
          <w:color w:val="333333"/>
          <w:kern w:val="0"/>
          <w:sz w:val="28"/>
          <w:szCs w:val="28"/>
        </w:rPr>
        <w:t xml:space="preserve">    （一）单位绩效完成情况</w:t>
      </w:r>
    </w:p>
    <w:p>
      <w:pPr>
        <w:jc w:val="left"/>
        <w:rPr>
          <w:rFonts w:ascii="仿宋_GB2312" w:eastAsia="仿宋_GB2312" w:hAnsiTheme="minorEastAsia"/>
          <w:sz w:val="28"/>
          <w:szCs w:val="28"/>
        </w:rPr>
      </w:pPr>
      <w:r>
        <w:rPr>
          <w:rFonts w:hint="eastAsia" w:ascii="仿宋_GB2312" w:eastAsia="仿宋_GB2312" w:hAnsiTheme="minorEastAsia"/>
          <w:sz w:val="28"/>
          <w:szCs w:val="28"/>
        </w:rPr>
        <w:t xml:space="preserve">    今年以来供应国有建设用地使用权网上挂牌19宗，其中成交17宗，流挂2宗。挂牌面积360377.6平方米，成交总金额22620万元；益阳市级对旱改水调剂指标资金拨付1783.53万元，协议指标交易资金5225万元，2022年合计完成指标交易7008.53万元；我市土地招拍挂出让活动全部进入网上交易，对土地出让公告、成交公示、成交结果在中国土地市场动态监测与监管系统上及时发布，为进一步加强土地监管提供数据。</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sz w:val="28"/>
          <w:szCs w:val="28"/>
        </w:rPr>
        <w:t xml:space="preserve">    </w:t>
      </w:r>
      <w:r>
        <w:rPr>
          <w:rFonts w:hint="eastAsia" w:ascii="仿宋_GB2312" w:hAnsi="仿宋_GB2312" w:eastAsia="仿宋_GB2312" w:cs="宋体"/>
          <w:b/>
          <w:bCs/>
          <w:color w:val="333333"/>
          <w:kern w:val="0"/>
          <w:sz w:val="28"/>
          <w:szCs w:val="28"/>
        </w:rPr>
        <w:t>（二）单位基本支出绩效情况</w:t>
      </w:r>
    </w:p>
    <w:p>
      <w:pPr>
        <w:jc w:val="left"/>
        <w:rPr>
          <w:rFonts w:ascii="仿宋_GB2312" w:eastAsia="仿宋_GB2312" w:hAnsiTheme="minorEastAsia"/>
          <w:sz w:val="28"/>
          <w:szCs w:val="28"/>
        </w:rPr>
      </w:pPr>
      <w:r>
        <w:rPr>
          <w:rFonts w:hint="eastAsia" w:ascii="仿宋_GB2312" w:eastAsia="仿宋_GB2312" w:hAnsiTheme="minorEastAsia"/>
          <w:sz w:val="28"/>
          <w:szCs w:val="28"/>
        </w:rPr>
        <w:t xml:space="preserve">    2022年度基本支出总计：114.06万元，按支出功能分类其中：自然资源海洋气象等支出：107.52万元；住房保障支出：6.54万元。全年三公经费支出0万元。</w:t>
      </w:r>
    </w:p>
    <w:p>
      <w:pPr>
        <w:jc w:val="left"/>
        <w:rPr>
          <w:rFonts w:ascii="仿宋_GB2312" w:hAnsi="仿宋_GB2312" w:eastAsia="仿宋_GB2312" w:cs="宋体"/>
          <w:b/>
          <w:bCs/>
          <w:color w:val="333333"/>
          <w:kern w:val="0"/>
          <w:sz w:val="28"/>
          <w:szCs w:val="28"/>
        </w:rPr>
      </w:pPr>
      <w:r>
        <w:rPr>
          <w:rFonts w:hint="eastAsia" w:ascii="仿宋_GB2312" w:eastAsia="仿宋_GB2312" w:hAnsiTheme="minorEastAsia"/>
          <w:sz w:val="28"/>
          <w:szCs w:val="28"/>
        </w:rPr>
        <w:t xml:space="preserve">    </w:t>
      </w:r>
      <w:r>
        <w:rPr>
          <w:rFonts w:hint="eastAsia" w:ascii="仿宋_GB2312" w:hAnsi="仿宋_GB2312" w:eastAsia="仿宋_GB2312" w:cs="宋体"/>
          <w:b/>
          <w:bCs/>
          <w:color w:val="333333"/>
          <w:kern w:val="0"/>
          <w:sz w:val="28"/>
          <w:szCs w:val="28"/>
        </w:rPr>
        <w:t>（三）单位项目支出绩效情况</w:t>
      </w:r>
    </w:p>
    <w:p>
      <w:pPr>
        <w:jc w:val="left"/>
        <w:rPr>
          <w:rFonts w:asciiTheme="minorEastAsia" w:hAnsiTheme="minorEastAsia"/>
          <w:sz w:val="28"/>
          <w:szCs w:val="28"/>
        </w:rPr>
      </w:pPr>
      <w:r>
        <w:rPr>
          <w:rFonts w:hint="eastAsia" w:ascii="仿宋_GB2312" w:eastAsia="仿宋_GB2312" w:hAnsiTheme="minorEastAsia"/>
          <w:sz w:val="28"/>
          <w:szCs w:val="28"/>
        </w:rPr>
        <w:t xml:space="preserve">    2022年度项目支出总计：</w:t>
      </w:r>
      <w:r>
        <w:rPr>
          <w:rFonts w:hint="eastAsia" w:asciiTheme="minorEastAsia" w:hAnsiTheme="minorEastAsia"/>
          <w:sz w:val="28"/>
          <w:szCs w:val="28"/>
        </w:rPr>
        <w:t>0万元。</w:t>
      </w:r>
    </w:p>
    <w:p>
      <w:pPr>
        <w:jc w:val="left"/>
        <w:rPr>
          <w:rFonts w:ascii="仿宋_GB2312" w:hAnsi="仿宋_GB2312" w:eastAsia="仿宋_GB2312" w:cs="宋体"/>
          <w:b/>
          <w:bCs/>
          <w:color w:val="333333"/>
          <w:kern w:val="0"/>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 xml:space="preserve">  四、存在问题</w:t>
      </w:r>
    </w:p>
    <w:p>
      <w:pPr>
        <w:jc w:val="left"/>
        <w:rPr>
          <w:rFonts w:asciiTheme="minorEastAsia" w:hAnsiTheme="minorEastAsia"/>
          <w:sz w:val="28"/>
          <w:szCs w:val="28"/>
        </w:rPr>
      </w:pPr>
      <w:r>
        <w:rPr>
          <w:rFonts w:hint="eastAsia" w:asciiTheme="minorEastAsia" w:hAnsiTheme="minorEastAsia"/>
          <w:sz w:val="28"/>
          <w:szCs w:val="28"/>
        </w:rPr>
        <w:t xml:space="preserve">    交易服务所的主要工作是要突出好“服务”，目前还存在主动服务意识、靠前服务不够、大局观念还有待进一步加强的问题；上市交易的前期工作要及时跟上级业务部门沟通，把工作做得更细化、更具体。</w:t>
      </w:r>
    </w:p>
    <w:p>
      <w:pPr>
        <w:jc w:val="left"/>
        <w:rPr>
          <w:rFonts w:ascii="仿宋_GB2312" w:hAnsi="仿宋_GB2312" w:eastAsia="仿宋_GB2312" w:cs="宋体"/>
          <w:b/>
          <w:bCs/>
          <w:color w:val="333333"/>
          <w:kern w:val="0"/>
          <w:sz w:val="28"/>
          <w:szCs w:val="28"/>
        </w:rPr>
      </w:pPr>
      <w:r>
        <w:rPr>
          <w:rFonts w:hint="eastAsia" w:asciiTheme="minorEastAsia" w:hAnsiTheme="minorEastAsia"/>
          <w:sz w:val="28"/>
          <w:szCs w:val="28"/>
        </w:rPr>
        <w:t xml:space="preserve">   </w:t>
      </w:r>
      <w:r>
        <w:rPr>
          <w:rFonts w:hint="eastAsia" w:ascii="仿宋_GB2312" w:hAnsi="仿宋_GB2312" w:eastAsia="仿宋_GB2312" w:cs="宋体"/>
          <w:b/>
          <w:bCs/>
          <w:color w:val="333333"/>
          <w:kern w:val="0"/>
          <w:sz w:val="28"/>
          <w:szCs w:val="28"/>
        </w:rPr>
        <w:t xml:space="preserve"> 五、针对问题改正的方法</w:t>
      </w:r>
    </w:p>
    <w:p>
      <w:pPr>
        <w:jc w:val="left"/>
        <w:rPr>
          <w:rFonts w:asciiTheme="minorEastAsia" w:hAnsiTheme="minorEastAsia"/>
          <w:sz w:val="28"/>
          <w:szCs w:val="28"/>
        </w:rPr>
      </w:pPr>
      <w:r>
        <w:rPr>
          <w:rFonts w:hint="eastAsia" w:asciiTheme="minorEastAsia" w:hAnsiTheme="minorEastAsia"/>
          <w:sz w:val="28"/>
          <w:szCs w:val="28"/>
        </w:rPr>
        <w:t xml:space="preserve">    进一步完善国有建设用地使用权招拍挂网上交易工作；进一步完善土地市场动态监测与监管系统的土地供应信息的宣传力度；加强业务知识的培训，提高服务质量，提高办事效率，进一步加强与各科室的沟通与协调，跟上级交易中心搞好对接，做好土地上网挂牌的各项前期工作，确保不出现、少出现差错。</w:t>
      </w:r>
    </w:p>
    <w:p>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3F"/>
    <w:rsid w:val="000549D5"/>
    <w:rsid w:val="000E3312"/>
    <w:rsid w:val="000E7E5E"/>
    <w:rsid w:val="000F6544"/>
    <w:rsid w:val="00154E67"/>
    <w:rsid w:val="00233077"/>
    <w:rsid w:val="002A0D2A"/>
    <w:rsid w:val="003114D3"/>
    <w:rsid w:val="00366DC4"/>
    <w:rsid w:val="003B37C8"/>
    <w:rsid w:val="00454DEA"/>
    <w:rsid w:val="00493C1D"/>
    <w:rsid w:val="004A58ED"/>
    <w:rsid w:val="004C4A74"/>
    <w:rsid w:val="00504857"/>
    <w:rsid w:val="005F1A4F"/>
    <w:rsid w:val="00646B9C"/>
    <w:rsid w:val="00647891"/>
    <w:rsid w:val="00661199"/>
    <w:rsid w:val="0069029B"/>
    <w:rsid w:val="006921BB"/>
    <w:rsid w:val="006C2898"/>
    <w:rsid w:val="00721BBB"/>
    <w:rsid w:val="007248D7"/>
    <w:rsid w:val="007F7130"/>
    <w:rsid w:val="00A1430D"/>
    <w:rsid w:val="00A15A67"/>
    <w:rsid w:val="00AF6E56"/>
    <w:rsid w:val="00B04AAC"/>
    <w:rsid w:val="00BF4933"/>
    <w:rsid w:val="00E03060"/>
    <w:rsid w:val="00E573A4"/>
    <w:rsid w:val="00EC1E2D"/>
    <w:rsid w:val="00F3073F"/>
    <w:rsid w:val="00FC3670"/>
    <w:rsid w:val="3A4F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260</Words>
  <Characters>1484</Characters>
  <Lines>12</Lines>
  <Paragraphs>3</Paragraphs>
  <TotalTime>952</TotalTime>
  <ScaleCrop>false</ScaleCrop>
  <LinksUpToDate>false</LinksUpToDate>
  <CharactersWithSpaces>1741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2023-05-10T13:32:00Z</dcterms:created>
  <dc:creator>微软用户</dc:creator>
  <cp:lastModifiedBy>孙泽宇</cp:lastModifiedBy>
  <cp:lastPrinted>2023-05-11T02:16:00Z</cp:lastPrinted>
  <dcterms:modified xsi:type="dcterms:W3CDTF">2023-11-09T03:16:28Z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157797B6A5AE4CA490E12523DDD508EB_13</vt:lpwstr>
  </property>
</Properties>
</file>