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center"/>
        <w:rPr>
          <w:rFonts w:ascii="仿宋" w:hAnsi="仿宋" w:eastAsia="仿宋"/>
          <w:b/>
          <w:sz w:val="32"/>
          <w:szCs w:val="24"/>
        </w:rPr>
      </w:pPr>
      <w:bookmarkStart w:id="0" w:name="_GoBack"/>
      <w:bookmarkEnd w:id="0"/>
      <w:r>
        <w:rPr>
          <w:rFonts w:hint="eastAsia" w:ascii="仿宋" w:hAnsi="仿宋" w:eastAsia="仿宋"/>
          <w:b/>
          <w:sz w:val="32"/>
          <w:szCs w:val="24"/>
        </w:rPr>
        <w:t>湖南省</w:t>
      </w:r>
      <w:r>
        <w:rPr>
          <w:rFonts w:ascii="仿宋" w:hAnsi="仿宋" w:eastAsia="仿宋"/>
          <w:b/>
          <w:sz w:val="32"/>
          <w:szCs w:val="24"/>
        </w:rPr>
        <w:t>202</w:t>
      </w:r>
      <w:r>
        <w:rPr>
          <w:rFonts w:hint="eastAsia" w:ascii="仿宋" w:hAnsi="仿宋" w:eastAsia="仿宋"/>
          <w:b/>
          <w:sz w:val="32"/>
          <w:szCs w:val="24"/>
          <w:lang w:val="en-US" w:eastAsia="zh-CN"/>
        </w:rPr>
        <w:t>2</w:t>
      </w:r>
      <w:r>
        <w:rPr>
          <w:rFonts w:hint="eastAsia" w:ascii="仿宋" w:hAnsi="仿宋" w:eastAsia="仿宋"/>
          <w:b/>
          <w:sz w:val="32"/>
          <w:szCs w:val="24"/>
        </w:rPr>
        <w:t>年度部门决算分析报告</w:t>
      </w:r>
    </w:p>
    <w:p>
      <w:pPr>
        <w:ind w:firstLine="640"/>
        <w:jc w:val="center"/>
        <w:rPr>
          <w:rFonts w:ascii="仿宋" w:hAnsi="仿宋" w:eastAsia="仿宋"/>
          <w:b/>
          <w:sz w:val="32"/>
          <w:szCs w:val="24"/>
        </w:rPr>
      </w:pPr>
      <w:r>
        <w:rPr>
          <w:rFonts w:hint="eastAsia" w:ascii="仿宋" w:hAnsi="仿宋" w:eastAsia="仿宋"/>
          <w:b/>
          <w:sz w:val="32"/>
          <w:szCs w:val="24"/>
        </w:rPr>
        <w:t>（沅江市林业局）</w:t>
      </w:r>
    </w:p>
    <w:p>
      <w:pPr>
        <w:ind w:firstLine="640"/>
        <w:rPr>
          <w:rFonts w:ascii="仿宋" w:hAnsi="仿宋" w:eastAsia="仿宋"/>
          <w:sz w:val="32"/>
          <w:szCs w:val="24"/>
        </w:rPr>
      </w:pPr>
    </w:p>
    <w:p>
      <w:pPr>
        <w:ind w:firstLine="640"/>
        <w:rPr>
          <w:rFonts w:ascii="仿宋" w:hAnsi="仿宋" w:eastAsia="仿宋"/>
          <w:sz w:val="32"/>
          <w:szCs w:val="24"/>
        </w:rPr>
      </w:pPr>
      <w:r>
        <w:rPr>
          <w:rFonts w:hint="eastAsia" w:ascii="仿宋" w:hAnsi="仿宋" w:eastAsia="仿宋"/>
          <w:sz w:val="32"/>
          <w:szCs w:val="24"/>
        </w:rPr>
        <w:t>一、部门（单位）情况</w:t>
      </w:r>
    </w:p>
    <w:p>
      <w:pPr>
        <w:ind w:firstLine="640"/>
        <w:rPr>
          <w:rFonts w:ascii="仿宋" w:hAnsi="仿宋" w:eastAsia="仿宋"/>
          <w:sz w:val="32"/>
          <w:szCs w:val="24"/>
        </w:rPr>
      </w:pPr>
      <w:r>
        <w:rPr>
          <w:rFonts w:hint="eastAsia" w:ascii="仿宋" w:hAnsi="仿宋" w:eastAsia="仿宋"/>
          <w:sz w:val="32"/>
          <w:szCs w:val="24"/>
        </w:rPr>
        <w:t>（一）基本情况。</w:t>
      </w:r>
    </w:p>
    <w:p>
      <w:pPr>
        <w:ind w:firstLine="640"/>
        <w:rPr>
          <w:rFonts w:ascii="仿宋" w:hAnsi="仿宋" w:eastAsia="仿宋"/>
          <w:sz w:val="32"/>
          <w:szCs w:val="24"/>
        </w:rPr>
      </w:pPr>
      <w:r>
        <w:rPr>
          <w:rFonts w:ascii="仿宋" w:hAnsi="仿宋" w:eastAsia="仿宋"/>
          <w:sz w:val="32"/>
          <w:szCs w:val="24"/>
        </w:rPr>
        <w:t>1</w:t>
      </w:r>
      <w:r>
        <w:rPr>
          <w:rFonts w:hint="eastAsia" w:ascii="仿宋" w:hAnsi="仿宋" w:eastAsia="仿宋"/>
          <w:sz w:val="32"/>
          <w:szCs w:val="24"/>
        </w:rPr>
        <w:t>．主要职能。</w:t>
      </w:r>
    </w:p>
    <w:p>
      <w:pPr>
        <w:ind w:firstLine="640"/>
        <w:rPr>
          <w:rFonts w:ascii="仿宋" w:hAnsi="仿宋" w:eastAsia="仿宋"/>
          <w:sz w:val="32"/>
          <w:szCs w:val="24"/>
        </w:rPr>
      </w:pPr>
      <w:r>
        <w:rPr>
          <w:rFonts w:hint="eastAsia" w:ascii="仿宋" w:hAnsi="仿宋" w:eastAsia="仿宋"/>
          <w:sz w:val="32"/>
          <w:szCs w:val="24"/>
        </w:rPr>
        <w:t>（一）负责林业及其生态保护修复的监督管理；拟订林业及其生态保护修复的政策、规划、标准并组织实施；组织开展森林、湿地、荒漠和陆生野生动植物资源动态监测与评价。</w:t>
      </w:r>
    </w:p>
    <w:p>
      <w:pPr>
        <w:ind w:firstLine="640"/>
        <w:rPr>
          <w:rFonts w:ascii="仿宋" w:hAnsi="仿宋" w:eastAsia="仿宋"/>
          <w:sz w:val="32"/>
          <w:szCs w:val="24"/>
        </w:rPr>
      </w:pPr>
      <w:r>
        <w:rPr>
          <w:rFonts w:hint="eastAsia" w:ascii="仿宋" w:hAnsi="仿宋" w:eastAsia="仿宋"/>
          <w:sz w:val="32"/>
          <w:szCs w:val="24"/>
        </w:rPr>
        <w:t>（二）组织林业生态保护修复和造林绿化工作；组织实施林业重点生态保护修复工程；指导公益林和商品林的培育；指导、监督全民义务植树、城乡造林绿化工作；组织指导林木花卉工作；组织指导植树造林、封山育林工作和以植树种草等生物措施防治水土流失工作；指导林业有害生物防治、检疫工作；承担林业应对气候变化的相关工作；承担市绿化委员会的具体工作。</w:t>
      </w:r>
    </w:p>
    <w:p>
      <w:pPr>
        <w:ind w:firstLine="640"/>
        <w:rPr>
          <w:rFonts w:ascii="仿宋" w:hAnsi="仿宋" w:eastAsia="仿宋"/>
          <w:sz w:val="32"/>
          <w:szCs w:val="24"/>
        </w:rPr>
      </w:pPr>
      <w:r>
        <w:rPr>
          <w:rFonts w:hint="eastAsia" w:ascii="仿宋" w:hAnsi="仿宋" w:eastAsia="仿宋"/>
          <w:sz w:val="32"/>
          <w:szCs w:val="24"/>
        </w:rPr>
        <w:t>（三）负责森林、湿地资源的监督管理；组织编制并监督执行全市森林采伐限额；负责林地管理，指导监督规划编制，并组织实施；指导公益林管理和国有森林资源管理工作；负责林地禁牧和森林生态修复治理工作；监督管理森林资源的开发利用。</w:t>
      </w:r>
    </w:p>
    <w:p>
      <w:pPr>
        <w:ind w:firstLine="640"/>
        <w:rPr>
          <w:rFonts w:ascii="仿宋" w:hAnsi="仿宋" w:eastAsia="仿宋"/>
          <w:sz w:val="32"/>
          <w:szCs w:val="24"/>
        </w:rPr>
      </w:pPr>
      <w:r>
        <w:rPr>
          <w:rFonts w:hint="eastAsia" w:ascii="仿宋" w:hAnsi="仿宋" w:eastAsia="仿宋"/>
          <w:sz w:val="32"/>
          <w:szCs w:val="24"/>
        </w:rPr>
        <w:t>（四）指导和监督湿地生态保护修复工作。拟订湿地保护规划和相关标准，监督管理湿地的开发利用；组织、协调、指导和监督全市湿地保护工作；拟订全市性、区域性湿地保护规划；组织实施建立湿地保护区、湿地公园等湿地保护管理工作；指导和监督湿地的合理利用；组织、协调全市湿地保护和有关国际湿地公约的履约工作。</w:t>
      </w:r>
    </w:p>
    <w:p>
      <w:pPr>
        <w:ind w:firstLine="640"/>
        <w:rPr>
          <w:rFonts w:ascii="仿宋" w:hAnsi="仿宋" w:eastAsia="仿宋"/>
          <w:sz w:val="32"/>
          <w:szCs w:val="24"/>
        </w:rPr>
      </w:pPr>
      <w:r>
        <w:rPr>
          <w:rFonts w:hint="eastAsia" w:ascii="仿宋" w:hAnsi="仿宋" w:eastAsia="仿宋"/>
          <w:sz w:val="32"/>
          <w:szCs w:val="24"/>
        </w:rPr>
        <w:t>（五）负责监督管理石漠化防治工作。组织开展荒漠调查；组织拟订防沙治沙、石漠化防治及沙化土地封禁保护区建设规划；监督管理沙化土地的开发利用；组织沙化灾害预测预报和应急处置。</w:t>
      </w:r>
    </w:p>
    <w:p>
      <w:pPr>
        <w:ind w:firstLine="640"/>
        <w:rPr>
          <w:rFonts w:ascii="仿宋" w:hAnsi="仿宋" w:eastAsia="仿宋"/>
          <w:sz w:val="32"/>
          <w:szCs w:val="24"/>
        </w:rPr>
      </w:pPr>
      <w:r>
        <w:rPr>
          <w:rFonts w:hint="eastAsia" w:ascii="仿宋" w:hAnsi="仿宋" w:eastAsia="仿宋"/>
          <w:sz w:val="32"/>
          <w:szCs w:val="24"/>
        </w:rPr>
        <w:t>（六）负责陆生野生动植物资源监督管理。组织开展陆生野生动植物资源调查，依法组织、指导陆生野生动植物的救护、繁育、栖息地恢复发展、疫源疫病监测监督；监督管理全市陆生野生动植物猎捕或采集、驯养繁殖或培植、经营利用；按权限监督管理重点保护的陆生野生动植物保护或其产品出口。</w:t>
      </w:r>
    </w:p>
    <w:p>
      <w:pPr>
        <w:ind w:firstLine="640"/>
        <w:rPr>
          <w:rFonts w:ascii="仿宋" w:hAnsi="仿宋" w:eastAsia="仿宋"/>
          <w:sz w:val="32"/>
          <w:szCs w:val="24"/>
        </w:rPr>
      </w:pPr>
      <w:r>
        <w:rPr>
          <w:rFonts w:hint="eastAsia" w:ascii="仿宋" w:hAnsi="仿宋" w:eastAsia="仿宋"/>
          <w:sz w:val="32"/>
          <w:szCs w:val="24"/>
        </w:rPr>
        <w:t>（七）监督管理各类自然保护地。拟订各类自然保护地规划和相关标准；负责上级或由政府直接行使所有权的国家公园等自然保护地的自然资产管理和国土空间用途管制；提出新建、调整各类自然保护地的审核建议并按程序报批；组织审核世界自然遗产的申报，会同有关部门审核自然与文化双重遗产的申报；负责生物多样性保护相关工作。</w:t>
      </w:r>
    </w:p>
    <w:p>
      <w:pPr>
        <w:ind w:firstLine="640"/>
        <w:rPr>
          <w:rFonts w:ascii="仿宋" w:hAnsi="仿宋" w:eastAsia="仿宋"/>
          <w:sz w:val="32"/>
          <w:szCs w:val="24"/>
        </w:rPr>
      </w:pPr>
      <w:r>
        <w:rPr>
          <w:rFonts w:hint="eastAsia" w:ascii="仿宋" w:hAnsi="仿宋" w:eastAsia="仿宋"/>
          <w:sz w:val="32"/>
          <w:szCs w:val="24"/>
        </w:rPr>
        <w:t>（八）负责推进林业改革相关工作。指导、监督实施集体林权制度、国有林场等重大改革；拟订农村林业发展、维护林业经营者合法权益的政策措施；指导农村林地承包经营和林地流转工作；开展退耕还林，负责天然林保护工作。</w:t>
      </w:r>
    </w:p>
    <w:p>
      <w:pPr>
        <w:ind w:firstLine="640"/>
        <w:rPr>
          <w:rFonts w:ascii="仿宋" w:hAnsi="仿宋" w:eastAsia="仿宋"/>
          <w:sz w:val="32"/>
          <w:szCs w:val="24"/>
        </w:rPr>
      </w:pPr>
      <w:r>
        <w:rPr>
          <w:rFonts w:hint="eastAsia" w:ascii="仿宋" w:hAnsi="仿宋" w:eastAsia="仿宋"/>
          <w:sz w:val="32"/>
          <w:szCs w:val="24"/>
        </w:rPr>
        <w:t>（九）制定全市林业产业发展政策，合理调整林业产业发展布局，促进林业产业协调发展；制定林业资源优化配置及竹木材利用政策，按照规定，组织指导林产品质量监督；指导生态扶贫相关工作。</w:t>
      </w:r>
    </w:p>
    <w:p>
      <w:pPr>
        <w:ind w:firstLine="640"/>
        <w:rPr>
          <w:rFonts w:ascii="仿宋" w:hAnsi="仿宋" w:eastAsia="仿宋"/>
          <w:sz w:val="32"/>
          <w:szCs w:val="24"/>
        </w:rPr>
      </w:pPr>
      <w:r>
        <w:rPr>
          <w:rFonts w:hint="eastAsia" w:ascii="仿宋" w:hAnsi="仿宋" w:eastAsia="仿宋"/>
          <w:sz w:val="32"/>
          <w:szCs w:val="24"/>
        </w:rPr>
        <w:t>（十）指导国有林场基本建设和发展。组织林木种子、草种种质资源普查；组织建立种质资源库，负责良种选育推广；管理林木种苗草种生产经营行为；监督管理林木种苗、草种质量；监督管理林业生物种质资源、转基因生物安全、植物新品种保护。</w:t>
      </w:r>
    </w:p>
    <w:p>
      <w:pPr>
        <w:ind w:firstLine="640"/>
        <w:rPr>
          <w:rFonts w:ascii="仿宋" w:hAnsi="仿宋" w:eastAsia="仿宋"/>
          <w:sz w:val="32"/>
          <w:szCs w:val="24"/>
        </w:rPr>
      </w:pPr>
      <w:r>
        <w:rPr>
          <w:rFonts w:hint="eastAsia" w:ascii="仿宋" w:hAnsi="仿宋" w:eastAsia="仿宋"/>
          <w:sz w:val="32"/>
          <w:szCs w:val="24"/>
        </w:rPr>
        <w:t>（十一）负责落实综合防灾减灾规划相关要求。组织编制森林火灾防治规划和防护标准并指导实施；指导开展防火巡护、火源管理、防火设施建设等工作；组织指导国有林场林区开展宣传教育、监测预警、督促检查等防火工作。必要时，可以提请市应急局，以市应急指挥机构名义，部署相关防治工作。</w:t>
      </w:r>
    </w:p>
    <w:p>
      <w:pPr>
        <w:ind w:firstLine="640"/>
        <w:rPr>
          <w:rFonts w:ascii="仿宋" w:hAnsi="仿宋" w:eastAsia="仿宋"/>
          <w:sz w:val="32"/>
          <w:szCs w:val="24"/>
        </w:rPr>
      </w:pPr>
      <w:r>
        <w:rPr>
          <w:rFonts w:hint="eastAsia" w:ascii="仿宋" w:hAnsi="仿宋" w:eastAsia="仿宋"/>
          <w:sz w:val="32"/>
          <w:szCs w:val="24"/>
        </w:rPr>
        <w:t>（十二）监督管理林业资金和国有资产，提出林业预算内投资、财政性资金安排建议；按市政府规定权限，审核全市规划内和年度计划内投资项目；参与拟订林业经济调节政策，组织、指导生态补偿制度的建立和实施。</w:t>
      </w:r>
    </w:p>
    <w:p>
      <w:pPr>
        <w:ind w:firstLine="640"/>
        <w:rPr>
          <w:rFonts w:ascii="仿宋" w:hAnsi="仿宋" w:eastAsia="仿宋"/>
          <w:sz w:val="32"/>
          <w:szCs w:val="24"/>
        </w:rPr>
      </w:pPr>
      <w:r>
        <w:rPr>
          <w:rFonts w:hint="eastAsia" w:ascii="仿宋" w:hAnsi="仿宋" w:eastAsia="仿宋"/>
          <w:sz w:val="32"/>
          <w:szCs w:val="24"/>
        </w:rPr>
        <w:t>（十三）负责林业科技、教育和外事工作；指导全市林业人才队伍建设；组织实施林业国际交流与合作事务；承担湿地、防治荒漠化、濒危野生动植物等国际公约履约工作。</w:t>
      </w:r>
    </w:p>
    <w:p>
      <w:pPr>
        <w:ind w:firstLine="640"/>
        <w:rPr>
          <w:rFonts w:ascii="仿宋" w:hAnsi="仿宋" w:eastAsia="仿宋"/>
          <w:sz w:val="32"/>
          <w:szCs w:val="24"/>
        </w:rPr>
      </w:pPr>
      <w:r>
        <w:rPr>
          <w:rFonts w:hint="eastAsia" w:ascii="仿宋" w:hAnsi="仿宋" w:eastAsia="仿宋"/>
          <w:sz w:val="32"/>
          <w:szCs w:val="24"/>
        </w:rPr>
        <w:t>（十四）完成市委、市政府交办的其他任务。</w:t>
      </w:r>
    </w:p>
    <w:p>
      <w:pPr>
        <w:ind w:firstLine="640"/>
        <w:rPr>
          <w:rFonts w:ascii="仿宋" w:hAnsi="仿宋" w:eastAsia="仿宋"/>
          <w:sz w:val="32"/>
          <w:szCs w:val="24"/>
        </w:rPr>
      </w:pPr>
      <w:r>
        <w:rPr>
          <w:rFonts w:ascii="仿宋" w:hAnsi="仿宋" w:eastAsia="仿宋"/>
          <w:sz w:val="32"/>
          <w:szCs w:val="24"/>
        </w:rPr>
        <w:t>2</w:t>
      </w:r>
      <w:r>
        <w:rPr>
          <w:rFonts w:hint="eastAsia" w:ascii="仿宋" w:hAnsi="仿宋" w:eastAsia="仿宋"/>
          <w:sz w:val="32"/>
          <w:szCs w:val="24"/>
        </w:rPr>
        <w:t>．机构情况，</w:t>
      </w:r>
      <w:r>
        <w:rPr>
          <w:rFonts w:ascii="仿宋" w:hAnsi="仿宋" w:eastAsia="仿宋"/>
          <w:sz w:val="32"/>
          <w:szCs w:val="24"/>
        </w:rPr>
        <w:t>202</w:t>
      </w:r>
      <w:r>
        <w:rPr>
          <w:rFonts w:hint="eastAsia" w:ascii="仿宋" w:hAnsi="仿宋" w:eastAsia="仿宋"/>
          <w:sz w:val="32"/>
          <w:szCs w:val="24"/>
          <w:lang w:val="en-US" w:eastAsia="zh-CN"/>
        </w:rPr>
        <w:t>2</w:t>
      </w:r>
      <w:r>
        <w:rPr>
          <w:rFonts w:hint="eastAsia" w:ascii="仿宋" w:hAnsi="仿宋" w:eastAsia="仿宋"/>
          <w:sz w:val="32"/>
          <w:szCs w:val="24"/>
        </w:rPr>
        <w:t>年本单位由六个股室组成。</w:t>
      </w:r>
    </w:p>
    <w:p>
      <w:pPr>
        <w:ind w:firstLine="640"/>
        <w:rPr>
          <w:rFonts w:ascii="仿宋" w:hAnsi="仿宋" w:eastAsia="仿宋"/>
          <w:sz w:val="32"/>
          <w:szCs w:val="24"/>
        </w:rPr>
      </w:pPr>
      <w:r>
        <w:rPr>
          <w:rFonts w:hint="eastAsia" w:ascii="仿宋" w:hAnsi="仿宋" w:eastAsia="仿宋"/>
          <w:sz w:val="32"/>
          <w:szCs w:val="24"/>
        </w:rPr>
        <w:t>（一）办公室。负责组织、协调、处理机关日常事务；拟订机关的各项工作制度和工作计划；负责机关文电、文秘、会务、档案、信息、机要、保密、文印、信访和平安建设等工作；负责机关后勤、保卫和局长热线等工作；承担信息平台、政务公开和应急管理工作。负责青年、妇女、老干和计划生育等工作；负责督查督办重大事项和重点工作；负责绩效考核工作。负责协调办理人大代表议案、政协委员提案。</w:t>
      </w:r>
    </w:p>
    <w:p>
      <w:pPr>
        <w:ind w:firstLine="640"/>
        <w:rPr>
          <w:rFonts w:ascii="仿宋" w:hAnsi="仿宋" w:eastAsia="仿宋"/>
          <w:sz w:val="32"/>
          <w:szCs w:val="24"/>
        </w:rPr>
      </w:pPr>
      <w:r>
        <w:rPr>
          <w:rFonts w:hint="eastAsia" w:ascii="仿宋" w:hAnsi="仿宋" w:eastAsia="仿宋"/>
          <w:sz w:val="32"/>
          <w:szCs w:val="24"/>
        </w:rPr>
        <w:t>（二）人事股。承担机关和所属单位的干部人事、机构编制、工资社保和教育培训工作；承办指导林业队伍建设和林业专业技术人员的管理；负责党的建设。协助纪检组做好纪检监察工作。</w:t>
      </w:r>
    </w:p>
    <w:p>
      <w:pPr>
        <w:ind w:firstLine="640"/>
        <w:rPr>
          <w:rFonts w:ascii="仿宋" w:hAnsi="仿宋" w:eastAsia="仿宋"/>
          <w:sz w:val="32"/>
          <w:szCs w:val="24"/>
        </w:rPr>
      </w:pPr>
      <w:r>
        <w:rPr>
          <w:rFonts w:hint="eastAsia" w:ascii="仿宋" w:hAnsi="仿宋" w:eastAsia="仿宋"/>
          <w:sz w:val="32"/>
          <w:szCs w:val="24"/>
        </w:rPr>
        <w:t>（三）规划财务股。拟订林业发展战略、规划；负责重点林业建设项目、年度项目及资金的申报并组织监督实施；协助管理本级林业资金；负责监督涉林规费和基金的征缴、管理和使用；负责全市林业专项贷款贴息工作；监管国有林业资产；负责统计信息、审计稽查、机关财务核算管理和所属单位财务监督管理工作。</w:t>
      </w:r>
    </w:p>
    <w:p>
      <w:pPr>
        <w:ind w:firstLine="640"/>
        <w:rPr>
          <w:rFonts w:ascii="仿宋" w:hAnsi="仿宋" w:eastAsia="仿宋"/>
          <w:sz w:val="32"/>
          <w:szCs w:val="24"/>
        </w:rPr>
      </w:pPr>
      <w:r>
        <w:rPr>
          <w:rFonts w:hint="eastAsia" w:ascii="仿宋" w:hAnsi="仿宋" w:eastAsia="仿宋"/>
          <w:sz w:val="32"/>
          <w:szCs w:val="24"/>
        </w:rPr>
        <w:t>（四）造林绿化股。拟订全市林业生态保护修复建设规划；编制全市营造林生产年度指导性计划；组织、协调、指导和监督全市林业重点生态工程项目的实施、石漠化防治工作；承担全市种苗、造林、营林质量管理；指导林业生态文明和生态文化建设相关工作；承担植树造林、封山育林和以植树种草等生物措施防治水土流失工作；拟订林业应对气候变化的政策、措施并组织实施；组织、协调、指导本市退耕还林还湿工作；承担油茶等经济林的培育和开发利用；组织开展林业科学研究、成果转化和技术推广工作；承担林业科技标准化、质量检验、监测和知识产权等相关工作；监督管理林业和湿地生物种质资源、转基因生物安全；开展林业国际合作与交流</w:t>
      </w:r>
      <w:r>
        <w:rPr>
          <w:rFonts w:ascii="仿宋" w:hAnsi="仿宋" w:eastAsia="仿宋"/>
          <w:sz w:val="32"/>
          <w:szCs w:val="24"/>
        </w:rPr>
        <w:t>,</w:t>
      </w:r>
      <w:r>
        <w:rPr>
          <w:rFonts w:hint="eastAsia" w:ascii="仿宋" w:hAnsi="仿宋" w:eastAsia="仿宋"/>
          <w:sz w:val="32"/>
          <w:szCs w:val="24"/>
        </w:rPr>
        <w:t>承办相关重要国际活动和履约工作；承担相关国际协定、协议和议定书的工作；承办涉及港澳台林业和湿地事务；组织、指导国外林业先进技术及智力引进。负责全市古树名木保护工作；负责全市森林质量提升工作；负责全市木盆花卉行业管理工作；承担市绿化委员会办公室的日常工作。</w:t>
      </w:r>
    </w:p>
    <w:p>
      <w:pPr>
        <w:ind w:firstLine="640"/>
        <w:rPr>
          <w:rFonts w:ascii="仿宋" w:hAnsi="仿宋" w:eastAsia="仿宋"/>
          <w:sz w:val="32"/>
          <w:szCs w:val="24"/>
        </w:rPr>
      </w:pPr>
      <w:r>
        <w:rPr>
          <w:rFonts w:hint="eastAsia" w:ascii="仿宋" w:hAnsi="仿宋" w:eastAsia="仿宋"/>
          <w:sz w:val="32"/>
          <w:szCs w:val="24"/>
        </w:rPr>
        <w:t>（五）资源林政股。拟订森林资源保护发展的政策措施；编制全市森林采伐限额；承担林地相关管理工作；组织编制全市林地保护利用规划；指导编制森林经营规划和森林经营方案并监督实施；监督管理国有森林资源；指导监督林木凭证采伐、运输；指导公益林管理工作；指导基层林业站的建设和管理；指导各类公益林、商品林的培育以及山区综合开发工作。提出林业生态文明建设的综合性政策建议；拟订相关法治建设规划和年度工作计划；负责林业行业执法监督</w:t>
      </w:r>
      <w:r>
        <w:rPr>
          <w:rFonts w:ascii="仿宋" w:hAnsi="仿宋" w:eastAsia="仿宋"/>
          <w:sz w:val="32"/>
          <w:szCs w:val="24"/>
        </w:rPr>
        <w:t>,</w:t>
      </w:r>
      <w:r>
        <w:rPr>
          <w:rFonts w:hint="eastAsia" w:ascii="仿宋" w:hAnsi="仿宋" w:eastAsia="仿宋"/>
          <w:sz w:val="32"/>
          <w:szCs w:val="24"/>
        </w:rPr>
        <w:t>协调行政执法中的重大问题；承担林业行政复议、行政应诉和听证相关工作；承办林业行业许可相关工作；承担集体林权制度、国有林场等改革相关工作；组织拟订农村林业发展政策并指导实施</w:t>
      </w:r>
      <w:r>
        <w:rPr>
          <w:rFonts w:ascii="仿宋" w:hAnsi="仿宋" w:eastAsia="仿宋"/>
          <w:sz w:val="32"/>
          <w:szCs w:val="24"/>
        </w:rPr>
        <w:t>;</w:t>
      </w:r>
      <w:r>
        <w:rPr>
          <w:rFonts w:hint="eastAsia" w:ascii="仿宋" w:hAnsi="仿宋" w:eastAsia="仿宋"/>
          <w:sz w:val="32"/>
          <w:szCs w:val="24"/>
        </w:rPr>
        <w:t>指导农村林地林木承包经营、流转管理。拟订全市林业产业发展规划和政策</w:t>
      </w:r>
      <w:r>
        <w:rPr>
          <w:rFonts w:ascii="仿宋" w:hAnsi="仿宋" w:eastAsia="仿宋"/>
          <w:sz w:val="32"/>
          <w:szCs w:val="24"/>
        </w:rPr>
        <w:t>,</w:t>
      </w:r>
      <w:r>
        <w:rPr>
          <w:rFonts w:hint="eastAsia" w:ascii="仿宋" w:hAnsi="仿宋" w:eastAsia="仿宋"/>
          <w:sz w:val="32"/>
          <w:szCs w:val="24"/>
        </w:rPr>
        <w:t>合理调整林业产业发展布局</w:t>
      </w:r>
      <w:r>
        <w:rPr>
          <w:rFonts w:ascii="仿宋" w:hAnsi="仿宋" w:eastAsia="仿宋"/>
          <w:sz w:val="32"/>
          <w:szCs w:val="24"/>
        </w:rPr>
        <w:t>,</w:t>
      </w:r>
      <w:r>
        <w:rPr>
          <w:rFonts w:hint="eastAsia" w:ascii="仿宋" w:hAnsi="仿宋" w:eastAsia="仿宋"/>
          <w:sz w:val="32"/>
          <w:szCs w:val="24"/>
        </w:rPr>
        <w:t>促进林业产业的协调发展；指导林业产业结构调整、技术改造、新产品开发；培养和扶持林业龙头企业，实施林业品牌战略</w:t>
      </w:r>
      <w:r>
        <w:rPr>
          <w:rFonts w:ascii="仿宋" w:hAnsi="仿宋" w:eastAsia="仿宋"/>
          <w:sz w:val="32"/>
          <w:szCs w:val="24"/>
        </w:rPr>
        <w:t>;</w:t>
      </w:r>
      <w:r>
        <w:rPr>
          <w:rFonts w:hint="eastAsia" w:ascii="仿宋" w:hAnsi="仿宋" w:eastAsia="仿宋"/>
          <w:sz w:val="32"/>
          <w:szCs w:val="24"/>
        </w:rPr>
        <w:t>加强林业生产的宏观管理；负责林业产值统计工作；监督实施林业产业技术标准，加大对林产品质量安全的监管；指导林下经济发展；组织拟订农村林业发展、林业要素市场、维护经营林业产业者合法权益；负责林业行业安全生产；负责林业行业招商引资工作；统筹协调“放管服”改革和行政审批制度改革，牵头编制和修订行政许可事项清单、行政权力责任清单、公共服务事项清单，牵头清理规范行政审批中介服务事项和各类证明（盖章）材料，编制政务服务事项实施清单、办事指南和示范格式文本等工作；牵头负责“互联网</w:t>
      </w:r>
      <w:r>
        <w:rPr>
          <w:rFonts w:ascii="仿宋" w:hAnsi="仿宋" w:eastAsia="仿宋"/>
          <w:sz w:val="32"/>
          <w:szCs w:val="24"/>
        </w:rPr>
        <w:t>+</w:t>
      </w:r>
      <w:r>
        <w:rPr>
          <w:rFonts w:hint="eastAsia" w:ascii="仿宋" w:hAnsi="仿宋" w:eastAsia="仿宋"/>
          <w:sz w:val="32"/>
          <w:szCs w:val="24"/>
        </w:rPr>
        <w:t>政务服务”一体化平台建设、管理和使用，负责政务窗口的综合管理，负责进驻政务窗口项目的受理、综合协调督促办理、结果回复。</w:t>
      </w:r>
    </w:p>
    <w:p>
      <w:pPr>
        <w:ind w:firstLine="640"/>
        <w:rPr>
          <w:rFonts w:ascii="仿宋" w:hAnsi="仿宋" w:eastAsia="仿宋"/>
          <w:sz w:val="32"/>
          <w:szCs w:val="24"/>
        </w:rPr>
      </w:pPr>
      <w:r>
        <w:rPr>
          <w:rFonts w:hint="eastAsia" w:ascii="仿宋" w:hAnsi="仿宋" w:eastAsia="仿宋"/>
          <w:sz w:val="32"/>
          <w:szCs w:val="24"/>
        </w:rPr>
        <w:t>（六）自然保护地管理股。监督管理各类直接管理的风景名胜、地质公园等自然保护地。提出新建、调整各类各级自然保护地的审核建议并按程序报批；组织实施各类自然保护地生态修复工作。组织、协调和监督全市湿地保护工作。承担世界自然遗产项目和世界自然与文化双重遗产项目相关工作；组织开展陆生野生动植物资源调查和资源状况评估；监督管理全市陆生野生动植物保护工作；研究提出市级重点保护的陆生野生动植物名录调整意见；协调、督促全市野生动物的重大违法行政案件的查处；承担濒危野生动植物种国际贸易公约履约工作；</w:t>
      </w:r>
    </w:p>
    <w:p>
      <w:pPr>
        <w:ind w:firstLine="640"/>
        <w:rPr>
          <w:rFonts w:ascii="仿宋" w:hAnsi="仿宋" w:eastAsia="仿宋"/>
          <w:sz w:val="32"/>
          <w:szCs w:val="24"/>
        </w:rPr>
      </w:pPr>
      <w:r>
        <w:rPr>
          <w:rFonts w:ascii="仿宋" w:hAnsi="仿宋" w:eastAsia="仿宋"/>
          <w:sz w:val="32"/>
          <w:szCs w:val="24"/>
        </w:rPr>
        <w:t>3</w:t>
      </w:r>
      <w:r>
        <w:rPr>
          <w:rFonts w:hint="eastAsia" w:ascii="仿宋" w:hAnsi="仿宋" w:eastAsia="仿宋"/>
          <w:sz w:val="32"/>
          <w:szCs w:val="24"/>
        </w:rPr>
        <w:t>．人员情况。</w:t>
      </w:r>
      <w:r>
        <w:rPr>
          <w:rFonts w:ascii="仿宋" w:hAnsi="仿宋" w:eastAsia="仿宋"/>
          <w:sz w:val="32"/>
          <w:szCs w:val="24"/>
        </w:rPr>
        <w:t>202</w:t>
      </w:r>
      <w:r>
        <w:rPr>
          <w:rFonts w:hint="eastAsia" w:ascii="仿宋" w:hAnsi="仿宋" w:eastAsia="仿宋"/>
          <w:sz w:val="32"/>
          <w:szCs w:val="24"/>
          <w:lang w:val="en-US" w:eastAsia="zh-CN"/>
        </w:rPr>
        <w:t>2</w:t>
      </w:r>
      <w:r>
        <w:rPr>
          <w:rFonts w:hint="eastAsia" w:ascii="仿宋" w:hAnsi="仿宋" w:eastAsia="仿宋"/>
          <w:sz w:val="32"/>
          <w:szCs w:val="24"/>
        </w:rPr>
        <w:t>年本单位年未实有</w:t>
      </w:r>
      <w:r>
        <w:rPr>
          <w:rFonts w:hint="eastAsia" w:ascii="仿宋" w:hAnsi="仿宋" w:eastAsia="仿宋"/>
          <w:sz w:val="32"/>
          <w:szCs w:val="24"/>
          <w:lang w:eastAsia="zh-CN"/>
        </w:rPr>
        <w:t>在职人员</w:t>
      </w:r>
      <w:r>
        <w:rPr>
          <w:rFonts w:hint="eastAsia" w:ascii="仿宋" w:hAnsi="仿宋" w:eastAsia="仿宋"/>
          <w:sz w:val="32"/>
          <w:szCs w:val="24"/>
          <w:lang w:val="en-US" w:eastAsia="zh-CN"/>
        </w:rPr>
        <w:t>77</w:t>
      </w:r>
      <w:r>
        <w:rPr>
          <w:rFonts w:hint="eastAsia" w:ascii="仿宋" w:hAnsi="仿宋" w:eastAsia="仿宋"/>
          <w:sz w:val="32"/>
          <w:szCs w:val="24"/>
        </w:rPr>
        <w:t>人，</w:t>
      </w:r>
      <w:r>
        <w:rPr>
          <w:rFonts w:hint="eastAsia" w:ascii="仿宋" w:hAnsi="仿宋" w:eastAsia="仿宋"/>
          <w:sz w:val="32"/>
          <w:szCs w:val="24"/>
          <w:lang w:eastAsia="zh-CN"/>
        </w:rPr>
        <w:t>退休人员</w:t>
      </w:r>
      <w:r>
        <w:rPr>
          <w:rFonts w:hint="eastAsia" w:ascii="仿宋" w:hAnsi="仿宋" w:eastAsia="仿宋"/>
          <w:sz w:val="32"/>
          <w:szCs w:val="24"/>
          <w:lang w:val="en-US" w:eastAsia="zh-CN"/>
        </w:rPr>
        <w:t>46人，遗属5人，在职人员</w:t>
      </w:r>
      <w:r>
        <w:rPr>
          <w:rFonts w:hint="eastAsia" w:ascii="仿宋" w:hAnsi="仿宋" w:eastAsia="仿宋"/>
          <w:sz w:val="32"/>
          <w:szCs w:val="24"/>
        </w:rPr>
        <w:t>比上年</w:t>
      </w:r>
      <w:r>
        <w:rPr>
          <w:rFonts w:hint="eastAsia" w:ascii="仿宋" w:hAnsi="仿宋" w:eastAsia="仿宋"/>
          <w:sz w:val="32"/>
          <w:szCs w:val="24"/>
          <w:lang w:val="zh-CN"/>
        </w:rPr>
        <w:t>增加</w:t>
      </w:r>
      <w:r>
        <w:rPr>
          <w:rFonts w:hint="eastAsia" w:ascii="仿宋" w:hAnsi="仿宋" w:eastAsia="仿宋"/>
          <w:sz w:val="32"/>
          <w:szCs w:val="24"/>
          <w:lang w:val="en-US" w:eastAsia="zh-CN"/>
        </w:rPr>
        <w:t>1</w:t>
      </w:r>
      <w:r>
        <w:rPr>
          <w:rFonts w:hint="eastAsia" w:ascii="仿宋" w:hAnsi="仿宋" w:eastAsia="仿宋"/>
          <w:sz w:val="32"/>
          <w:szCs w:val="24"/>
        </w:rPr>
        <w:t>人。人员变化的主要原因是</w:t>
      </w:r>
      <w:r>
        <w:rPr>
          <w:rFonts w:hint="eastAsia" w:ascii="仿宋" w:hAnsi="仿宋" w:eastAsia="仿宋"/>
          <w:sz w:val="32"/>
          <w:szCs w:val="24"/>
          <w:lang w:eastAsia="zh-CN"/>
        </w:rPr>
        <w:t>退伍军人安置</w:t>
      </w:r>
      <w:r>
        <w:rPr>
          <w:rFonts w:hint="eastAsia" w:ascii="仿宋" w:hAnsi="仿宋" w:eastAsia="仿宋"/>
          <w:sz w:val="32"/>
          <w:szCs w:val="24"/>
        </w:rPr>
        <w:t>。</w:t>
      </w:r>
    </w:p>
    <w:p>
      <w:pPr>
        <w:ind w:firstLine="643"/>
        <w:rPr>
          <w:rFonts w:ascii="仿宋" w:hAnsi="仿宋" w:eastAsia="仿宋"/>
          <w:b/>
          <w:sz w:val="32"/>
          <w:szCs w:val="24"/>
        </w:rPr>
      </w:pPr>
      <w:r>
        <w:rPr>
          <w:rFonts w:hint="eastAsia" w:ascii="仿宋" w:hAnsi="仿宋" w:eastAsia="仿宋"/>
          <w:b/>
          <w:sz w:val="32"/>
          <w:szCs w:val="24"/>
        </w:rPr>
        <w:t>（二）当年取得的主要事业成效。</w:t>
      </w:r>
    </w:p>
    <w:p>
      <w:pPr>
        <w:spacing w:line="600" w:lineRule="exact"/>
        <w:ind w:firstLine="640" w:firstLineChars="200"/>
        <w:rPr>
          <w:rFonts w:ascii="仿宋" w:hAnsi="仿宋" w:eastAsia="仿宋" w:cs="仿宋_GB2312"/>
          <w:b/>
          <w:bCs/>
          <w:sz w:val="32"/>
          <w:szCs w:val="32"/>
        </w:rPr>
      </w:pPr>
      <w:r>
        <w:rPr>
          <w:rFonts w:hint="eastAsia" w:ascii="楷体" w:hAnsi="楷体" w:eastAsia="楷体" w:cs="仿宋_GB2312"/>
          <w:bCs/>
          <w:sz w:val="32"/>
          <w:szCs w:val="32"/>
        </w:rPr>
        <w:t>（一）全面加强党的建设。</w:t>
      </w:r>
      <w:r>
        <w:rPr>
          <w:rFonts w:hint="eastAsia" w:ascii="仿宋" w:hAnsi="仿宋" w:eastAsia="仿宋" w:cs="仿宋_GB2312"/>
          <w:sz w:val="32"/>
          <w:szCs w:val="32"/>
        </w:rPr>
        <w:t>始终把学习贯彻习近平新时代中国特色社会主义思想作为首要政治任务，持续推进“不忘初心、牢记使命”主题教育常态化，抓班子、强队伍，成立了机关党委和机关纪委，以党建统揽林业工作全局。结合党组中心组集中学习、三会一课、主题党日等活动，组织全体干职工开展了为期三天的“新时代基层干部主题培训”。落实了在职党员进社区（小区）“双向报到”制度，发动广大党员下沉社区（小区）一线参与防疫工作，发挥了基层党组织的战斗堡垒和党员先锋模范作用。</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严格落实意识形态工作责任制，开展党组中心组学习13次。集中学习了党的二十大及十九届六中全会精神、省第十二次党代会精神、益阳市第七次党代会精神、沅江市第十三次党代会精神。压实从严治党主体责任，认真履行“一岗双责”，严格执行中央八项规定和省、市相关规定，毫不松懈纠治“四风”，排查整治各类廉政风险。及时开展廉政教育，进一步加强机关作风纪律建设，严格落实工作人员平时考勤考核，培养良好的纪律意识、规矩意识，提高工作效能。</w:t>
      </w:r>
    </w:p>
    <w:p>
      <w:pPr>
        <w:spacing w:line="600" w:lineRule="exact"/>
        <w:ind w:firstLine="640" w:firstLineChars="200"/>
        <w:rPr>
          <w:rFonts w:ascii="仿宋" w:hAnsi="仿宋" w:eastAsia="仿宋" w:cs="仿宋_GB2312"/>
          <w:b/>
          <w:bCs/>
          <w:sz w:val="32"/>
          <w:szCs w:val="32"/>
        </w:rPr>
      </w:pPr>
      <w:r>
        <w:rPr>
          <w:rFonts w:hint="eastAsia" w:ascii="楷体" w:hAnsi="楷体" w:eastAsia="楷体" w:cs="仿宋_GB2312"/>
          <w:bCs/>
          <w:sz w:val="32"/>
          <w:szCs w:val="32"/>
        </w:rPr>
        <w:t>（二）推深做实林长制。</w:t>
      </w:r>
      <w:r>
        <w:rPr>
          <w:rFonts w:hint="eastAsia" w:ascii="仿宋" w:hAnsi="仿宋" w:eastAsia="仿宋" w:cs="Times New Roman"/>
          <w:sz w:val="32"/>
          <w:szCs w:val="32"/>
        </w:rPr>
        <w:t>认真贯彻落实党中央、国务院和湖南省委省政府、益阳市委市政府关于全面推行林长制的决策部署，按时间节点有序推进林长制推行工作，建立了市、镇（街道、中心）、村三级林长体系，组建了“三长四员”监管体系。目前，</w:t>
      </w:r>
      <w:r>
        <w:rPr>
          <w:rFonts w:hint="eastAsia" w:ascii="仿宋" w:hAnsi="仿宋" w:eastAsia="仿宋" w:cs="Times New Roman"/>
          <w:sz w:val="32"/>
          <w:szCs w:val="24"/>
        </w:rPr>
        <w:t>全市共划分199个管护网格，明确各级正副林长（督察长、警长）561人、林业科技员32人、护林员199人、监管员16人、执法人员32人，设立林长制公示牌208块。各级林长（督察长、警长）已开展巡林巡湿9700人次，</w:t>
      </w:r>
      <w:r>
        <w:rPr>
          <w:rFonts w:hint="eastAsia" w:ascii="仿宋" w:hAnsi="仿宋" w:eastAsia="仿宋" w:cs="Times New Roman"/>
          <w:sz w:val="32"/>
          <w:szCs w:val="32"/>
        </w:rPr>
        <w:t>护林员巡林巡湿4.08万余人次，发放宣传资料6.8万余份，</w:t>
      </w:r>
      <w:r>
        <w:rPr>
          <w:rFonts w:hint="eastAsia" w:ascii="仿宋" w:hAnsi="仿宋" w:eastAsia="仿宋" w:cs="Times New Roman"/>
          <w:sz w:val="32"/>
          <w:szCs w:val="24"/>
        </w:rPr>
        <w:t>解决涉林涉湿问题300多个，</w:t>
      </w:r>
      <w:r>
        <w:rPr>
          <w:rFonts w:hint="eastAsia" w:ascii="仿宋" w:hAnsi="仿宋" w:eastAsia="仿宋" w:cs="Times New Roman"/>
          <w:sz w:val="32"/>
          <w:szCs w:val="32"/>
        </w:rPr>
        <w:t>有力推动工作落地落实。</w:t>
      </w:r>
    </w:p>
    <w:p>
      <w:pPr>
        <w:spacing w:line="600" w:lineRule="exact"/>
        <w:ind w:firstLine="640" w:firstLineChars="200"/>
        <w:rPr>
          <w:rFonts w:ascii="楷体" w:hAnsi="楷体" w:eastAsia="楷体" w:cs="仿宋_GB2312"/>
          <w:bCs/>
          <w:sz w:val="32"/>
          <w:szCs w:val="32"/>
        </w:rPr>
      </w:pPr>
      <w:r>
        <w:rPr>
          <w:rFonts w:hint="eastAsia" w:ascii="楷体" w:hAnsi="楷体" w:eastAsia="楷体" w:cs="仿宋_GB2312"/>
          <w:bCs/>
          <w:sz w:val="32"/>
          <w:szCs w:val="32"/>
        </w:rPr>
        <w:t>（三）切实加强生态保护</w:t>
      </w:r>
    </w:p>
    <w:p>
      <w:pPr>
        <w:spacing w:line="600" w:lineRule="exact"/>
        <w:ind w:firstLine="680" w:firstLineChars="200"/>
        <w:rPr>
          <w:rFonts w:ascii="仿宋" w:hAnsi="仿宋" w:eastAsia="仿宋" w:cs="仿宋_GB2312"/>
          <w:sz w:val="32"/>
          <w:szCs w:val="32"/>
        </w:rPr>
      </w:pPr>
      <w:r>
        <w:rPr>
          <w:rFonts w:hint="eastAsia" w:ascii="仿宋" w:hAnsi="仿宋" w:eastAsia="仿宋" w:cs="仿宋_GB2312"/>
          <w:bCs/>
          <w:spacing w:val="10"/>
          <w:sz w:val="32"/>
          <w:szCs w:val="32"/>
        </w:rPr>
        <w:t>1.</w:t>
      </w:r>
      <w:r>
        <w:rPr>
          <w:rFonts w:hint="eastAsia" w:ascii="仿宋" w:hAnsi="仿宋" w:eastAsia="仿宋" w:cs="仿宋_GB2312"/>
          <w:bCs/>
          <w:color w:val="000000"/>
          <w:spacing w:val="10"/>
          <w:kern w:val="0"/>
          <w:sz w:val="32"/>
          <w:szCs w:val="32"/>
        </w:rPr>
        <w:t>加强自然保护地体系建设。</w:t>
      </w:r>
      <w:r>
        <w:rPr>
          <w:rFonts w:hint="eastAsia" w:ascii="仿宋" w:hAnsi="仿宋" w:eastAsia="仿宋" w:cs="仿宋_GB2312"/>
          <w:spacing w:val="10"/>
          <w:sz w:val="32"/>
          <w:szCs w:val="32"/>
        </w:rPr>
        <w:t>认真履行自然保护地监管职责，</w:t>
      </w:r>
      <w:r>
        <w:rPr>
          <w:rFonts w:hint="eastAsia" w:ascii="仿宋" w:hAnsi="仿宋" w:eastAsia="仿宋" w:cs="仿宋_GB2312"/>
          <w:color w:val="191919"/>
          <w:spacing w:val="10"/>
          <w:sz w:val="32"/>
          <w:szCs w:val="32"/>
          <w:shd w:val="clear" w:color="auto" w:fill="FFFFFF"/>
        </w:rPr>
        <w:t>督促协调相关镇、街道、中心履行好属地管理责任。</w:t>
      </w:r>
      <w:r>
        <w:rPr>
          <w:rFonts w:hint="eastAsia" w:ascii="仿宋" w:hAnsi="仿宋" w:eastAsia="仿宋"/>
          <w:kern w:val="0"/>
          <w:sz w:val="32"/>
          <w:szCs w:val="32"/>
        </w:rPr>
        <w:t>组织开展了省下发自然保护地线索图斑和遥感报告问题线索核查核实，开展保护地巡查巡护192次。</w:t>
      </w:r>
      <w:r>
        <w:rPr>
          <w:rFonts w:hint="eastAsia" w:ascii="仿宋" w:hAnsi="仿宋" w:eastAsia="仿宋"/>
          <w:color w:val="000000"/>
          <w:kern w:val="0"/>
          <w:sz w:val="32"/>
          <w:szCs w:val="32"/>
        </w:rPr>
        <w:t>完成了南洞庭湖风景名胜区整合优化和修编阶段性工作，合理解决了风景名胜区保护与发展的矛盾，破解了我市发展瓶颈。</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bCs/>
          <w:color w:val="191919"/>
          <w:sz w:val="32"/>
          <w:szCs w:val="32"/>
          <w:shd w:val="clear" w:color="auto" w:fill="FFFFFF"/>
        </w:rPr>
        <w:t>2.加强森林资源保护。</w:t>
      </w:r>
      <w:r>
        <w:rPr>
          <w:rFonts w:hint="eastAsia" w:ascii="仿宋" w:hAnsi="仿宋" w:eastAsia="仿宋" w:cs="仿宋_GB2312"/>
          <w:sz w:val="32"/>
          <w:szCs w:val="32"/>
        </w:rPr>
        <w:t>认真贯彻落实</w:t>
      </w:r>
      <w:r>
        <w:rPr>
          <w:rFonts w:hint="eastAsia" w:ascii="仿宋" w:hAnsi="仿宋" w:eastAsia="仿宋"/>
          <w:sz w:val="32"/>
          <w:szCs w:val="32"/>
        </w:rPr>
        <w:t>落实省、市林长令和禁火令</w:t>
      </w:r>
      <w:r>
        <w:rPr>
          <w:rFonts w:hint="eastAsia" w:ascii="仿宋" w:hAnsi="仿宋" w:eastAsia="仿宋" w:cs="仿宋_GB2312"/>
          <w:sz w:val="32"/>
          <w:szCs w:val="32"/>
        </w:rPr>
        <w:t>，压实各级林长责任，加强森林防火督查和指导，加大巡护频次，确保火险火灾零发生。强化林业有害生物防治，巩固植物检疫和松材线虫病治理成果，</w:t>
      </w:r>
      <w:r>
        <w:rPr>
          <w:rFonts w:hint="eastAsia" w:ascii="仿宋" w:hAnsi="仿宋" w:eastAsia="仿宋" w:cs="仿宋_GB2312"/>
          <w:color w:val="191919"/>
          <w:sz w:val="32"/>
          <w:szCs w:val="32"/>
          <w:shd w:val="clear" w:color="auto" w:fill="FFFFFF"/>
        </w:rPr>
        <w:t>开展森林督查和林草湿荒监测，强力推进林业生态环境综合整治行动，确保全市生态安全。</w:t>
      </w:r>
      <w:r>
        <w:rPr>
          <w:rFonts w:hint="eastAsia" w:ascii="仿宋" w:hAnsi="仿宋" w:eastAsia="仿宋" w:cs="Times New Roman"/>
          <w:sz w:val="32"/>
          <w:szCs w:val="32"/>
        </w:rPr>
        <w:t>落实《湖南省古树名木保护办法》，推进全市152株古树名木保护管理工作常态化</w:t>
      </w:r>
      <w:r>
        <w:rPr>
          <w:rFonts w:hint="eastAsia" w:ascii="仿宋" w:hAnsi="仿宋" w:eastAsia="仿宋" w:cs="仿宋_GB2312"/>
          <w:sz w:val="32"/>
          <w:szCs w:val="32"/>
        </w:rPr>
        <w:t>。</w:t>
      </w:r>
    </w:p>
    <w:p>
      <w:pPr>
        <w:spacing w:line="600" w:lineRule="exact"/>
        <w:ind w:firstLine="640" w:firstLineChars="200"/>
        <w:rPr>
          <w:rFonts w:ascii="仿宋" w:hAnsi="仿宋" w:eastAsia="仿宋" w:cs="仿宋_GB2312"/>
          <w:bCs/>
          <w:sz w:val="32"/>
          <w:szCs w:val="32"/>
        </w:rPr>
      </w:pPr>
      <w:r>
        <w:rPr>
          <w:rFonts w:hint="eastAsia" w:ascii="仿宋" w:hAnsi="仿宋" w:eastAsia="仿宋" w:cs="仿宋_GB2312"/>
          <w:bCs/>
          <w:color w:val="191919"/>
          <w:sz w:val="32"/>
          <w:szCs w:val="32"/>
          <w:shd w:val="clear" w:color="auto" w:fill="FFFFFF"/>
        </w:rPr>
        <w:t>3.加强生物多样性保护。</w:t>
      </w:r>
      <w:r>
        <w:rPr>
          <w:rFonts w:hint="eastAsia" w:ascii="仿宋" w:hAnsi="仿宋" w:eastAsia="仿宋" w:cs="仿宋_GB2312"/>
          <w:color w:val="0C0C0C"/>
          <w:sz w:val="32"/>
          <w:szCs w:val="32"/>
        </w:rPr>
        <w:t>积极开展湿地、候鸟等野生动物保护宣传与巡护</w:t>
      </w:r>
      <w:r>
        <w:rPr>
          <w:rFonts w:hint="eastAsia" w:ascii="仿宋" w:hAnsi="仿宋" w:eastAsia="仿宋" w:cs="Times New Roman"/>
          <w:sz w:val="32"/>
          <w:szCs w:val="32"/>
        </w:rPr>
        <w:t>，</w:t>
      </w:r>
      <w:r>
        <w:rPr>
          <w:rFonts w:hint="eastAsia" w:ascii="仿宋" w:hAnsi="仿宋" w:eastAsia="仿宋" w:cs="仿宋_GB2312"/>
          <w:sz w:val="32"/>
          <w:szCs w:val="32"/>
        </w:rPr>
        <w:t>联合志愿者共巡护里程8000多公里，救助麋鹿、鸿雁、凤头鹰、白鹭、戴胜等野生动物100余只，获评全省野生动植物保护工作先进单位。</w:t>
      </w:r>
      <w:r>
        <w:rPr>
          <w:rFonts w:hint="eastAsia" w:ascii="仿宋" w:hAnsi="仿宋" w:eastAsia="仿宋" w:cs="Times New Roman"/>
          <w:sz w:val="32"/>
          <w:szCs w:val="32"/>
        </w:rPr>
        <w:t>结合“虎威行动”“洞庭清波”“清风行动”等专项整治行动，</w:t>
      </w:r>
      <w:r>
        <w:rPr>
          <w:rFonts w:hint="eastAsia" w:ascii="仿宋" w:hAnsi="仿宋" w:eastAsia="仿宋" w:cs="仿宋_GB2312"/>
          <w:sz w:val="32"/>
          <w:szCs w:val="32"/>
        </w:rPr>
        <w:t>强化宣传和监管执法，严厉打击破坏森林草原湿地生态资源违法行为。</w:t>
      </w:r>
      <w:r>
        <w:rPr>
          <w:rFonts w:hint="eastAsia" w:ascii="仿宋" w:hAnsi="仿宋" w:eastAsia="仿宋" w:cs="黑体"/>
          <w:sz w:val="32"/>
          <w:szCs w:val="32"/>
        </w:rPr>
        <w:t>以沅江市湿地植物国家林木种质资源库建设和沅江市野生动物救护救助站建设为抓手，开展生物多样性资源调查，强化外来物种管控，</w:t>
      </w:r>
      <w:r>
        <w:rPr>
          <w:rFonts w:hint="eastAsia" w:ascii="仿宋" w:hAnsi="仿宋" w:eastAsia="仿宋" w:cs="Times New Roman"/>
          <w:sz w:val="32"/>
          <w:szCs w:val="22"/>
        </w:rPr>
        <w:t>建设国内唯一一家湿地植物国家林木种质资源库2400余亩，收集保存水松、水杉等优良种质资源400多份，</w:t>
      </w:r>
      <w:r>
        <w:rPr>
          <w:rFonts w:hint="eastAsia" w:ascii="仿宋" w:hAnsi="仿宋" w:eastAsia="仿宋" w:cs="黑体"/>
          <w:sz w:val="32"/>
          <w:szCs w:val="32"/>
        </w:rPr>
        <w:t>构建结构稳定、功能完备的生物多样性保护体系。</w:t>
      </w:r>
    </w:p>
    <w:p>
      <w:pPr>
        <w:spacing w:line="600" w:lineRule="exact"/>
        <w:ind w:firstLine="640" w:firstLineChars="200"/>
        <w:rPr>
          <w:rFonts w:ascii="楷体" w:hAnsi="楷体" w:eastAsia="楷体" w:cs="仿宋_GB2312"/>
          <w:bCs/>
          <w:sz w:val="32"/>
          <w:szCs w:val="32"/>
        </w:rPr>
      </w:pPr>
      <w:r>
        <w:rPr>
          <w:rFonts w:hint="eastAsia" w:ascii="楷体" w:hAnsi="楷体" w:eastAsia="楷体" w:cs="仿宋_GB2312"/>
          <w:bCs/>
          <w:sz w:val="32"/>
          <w:szCs w:val="32"/>
        </w:rPr>
        <w:t>（四）扎实开展生态修复</w:t>
      </w:r>
    </w:p>
    <w:p>
      <w:pPr>
        <w:spacing w:line="600" w:lineRule="exact"/>
        <w:ind w:firstLine="640" w:firstLineChars="200"/>
        <w:rPr>
          <w:rFonts w:ascii="仿宋" w:hAnsi="仿宋" w:eastAsia="仿宋" w:cstheme="minorBidi"/>
          <w:sz w:val="32"/>
          <w:szCs w:val="32"/>
        </w:rPr>
      </w:pPr>
      <w:r>
        <w:rPr>
          <w:rFonts w:hint="eastAsia" w:ascii="仿宋" w:hAnsi="仿宋" w:eastAsia="仿宋" w:cs="仿宋_GB2312"/>
          <w:bCs/>
          <w:sz w:val="32"/>
          <w:szCs w:val="32"/>
        </w:rPr>
        <w:t>1.大力开展生态廊道建设。</w:t>
      </w:r>
      <w:r>
        <w:rPr>
          <w:rFonts w:hint="eastAsia" w:ascii="仿宋" w:hAnsi="仿宋" w:eastAsia="仿宋" w:cs="仿宋_GB2312"/>
          <w:sz w:val="32"/>
          <w:szCs w:val="32"/>
        </w:rPr>
        <w:t>深入开展国土科学绿化，以2021年武陵山区生物多样性保护工程、长江防护林工程、省级生态廊道建设为重点，</w:t>
      </w:r>
      <w:r>
        <w:rPr>
          <w:rFonts w:hint="eastAsia" w:ascii="仿宋" w:hAnsi="仿宋" w:eastAsia="仿宋" w:cs="仿宋_GB2312"/>
          <w:color w:val="000000"/>
          <w:sz w:val="32"/>
          <w:szCs w:val="32"/>
        </w:rPr>
        <w:t>完成</w:t>
      </w:r>
      <w:r>
        <w:rPr>
          <w:rFonts w:hint="eastAsia" w:ascii="仿宋" w:hAnsi="仿宋" w:eastAsia="仿宋" w:cs="仿宋_GB2312"/>
          <w:sz w:val="32"/>
          <w:szCs w:val="32"/>
        </w:rPr>
        <w:t>人工造林1.66万亩、</w:t>
      </w:r>
      <w:r>
        <w:rPr>
          <w:rFonts w:hint="eastAsia" w:ascii="仿宋" w:hAnsi="仿宋" w:eastAsia="仿宋" w:cs="Times New Roman"/>
          <w:sz w:val="32"/>
          <w:szCs w:val="32"/>
        </w:rPr>
        <w:t>更新造林0.2万亩</w:t>
      </w:r>
      <w:r>
        <w:rPr>
          <w:rFonts w:hint="eastAsia" w:ascii="仿宋" w:hAnsi="仿宋" w:eastAsia="仿宋" w:cs="仿宋_GB2312"/>
          <w:sz w:val="32"/>
          <w:szCs w:val="32"/>
        </w:rPr>
        <w:t>，</w:t>
      </w:r>
      <w:r>
        <w:rPr>
          <w:rFonts w:hint="eastAsia" w:ascii="仿宋" w:hAnsi="仿宋" w:eastAsia="仿宋" w:cs="仿宋_GB2312"/>
          <w:color w:val="000000"/>
          <w:sz w:val="32"/>
          <w:szCs w:val="32"/>
        </w:rPr>
        <w:t>为计划的100%</w:t>
      </w:r>
      <w:r>
        <w:rPr>
          <w:rFonts w:hint="eastAsia" w:ascii="仿宋" w:hAnsi="仿宋" w:eastAsia="仿宋" w:cs="仿宋_GB2312"/>
          <w:sz w:val="32"/>
          <w:szCs w:val="32"/>
        </w:rPr>
        <w:t>。创新义务植树方式，</w:t>
      </w:r>
      <w:r>
        <w:rPr>
          <w:rFonts w:hint="eastAsia" w:ascii="仿宋" w:hAnsi="仿宋" w:eastAsia="仿宋" w:cs="仿宋_GB2312"/>
          <w:sz w:val="32"/>
          <w:szCs w:val="27"/>
        </w:rPr>
        <w:t>拓展全民</w:t>
      </w:r>
      <w:r>
        <w:rPr>
          <w:rFonts w:hint="eastAsia" w:ascii="仿宋" w:hAnsi="仿宋" w:eastAsia="仿宋" w:cs="仿宋_GB2312"/>
          <w:sz w:val="32"/>
          <w:szCs w:val="32"/>
        </w:rPr>
        <w:t>义务植树</w:t>
      </w:r>
      <w:r>
        <w:rPr>
          <w:rFonts w:hint="eastAsia" w:ascii="仿宋" w:hAnsi="仿宋" w:eastAsia="仿宋" w:cs="仿宋_GB2312"/>
          <w:sz w:val="32"/>
          <w:szCs w:val="27"/>
        </w:rPr>
        <w:t>尽责方式，</w:t>
      </w:r>
      <w:r>
        <w:rPr>
          <w:rFonts w:hint="eastAsia" w:ascii="仿宋" w:hAnsi="仿宋" w:eastAsia="仿宋" w:cs="仿宋_GB2312"/>
          <w:sz w:val="32"/>
          <w:szCs w:val="32"/>
        </w:rPr>
        <w:t>全民义务植树尽责率85%以上，在益阳市造林绿化工作现场会上典型发言。2022年8月，</w:t>
      </w:r>
      <w:r>
        <w:rPr>
          <w:rFonts w:hint="eastAsia" w:ascii="仿宋" w:hAnsi="仿宋" w:eastAsia="仿宋" w:cstheme="minorBidi"/>
          <w:sz w:val="32"/>
          <w:szCs w:val="32"/>
        </w:rPr>
        <w:t>沅江市林业局获评“全国绿化先进集体”。</w:t>
      </w:r>
    </w:p>
    <w:p>
      <w:pPr>
        <w:autoSpaceDE w:val="0"/>
        <w:spacing w:line="600" w:lineRule="exact"/>
        <w:ind w:firstLine="640" w:firstLineChars="200"/>
        <w:rPr>
          <w:rFonts w:ascii="仿宋" w:hAnsi="仿宋" w:eastAsia="仿宋" w:cs="仿宋_GB2312"/>
          <w:sz w:val="32"/>
          <w:szCs w:val="32"/>
        </w:rPr>
      </w:pPr>
      <w:r>
        <w:rPr>
          <w:rFonts w:hint="eastAsia" w:ascii="仿宋" w:hAnsi="仿宋" w:eastAsia="仿宋" w:cs="仿宋_GB2312"/>
          <w:bCs/>
          <w:sz w:val="32"/>
          <w:szCs w:val="32"/>
        </w:rPr>
        <w:t>2.有序开展保护区杨树清退。</w:t>
      </w:r>
      <w:r>
        <w:rPr>
          <w:rFonts w:hint="eastAsia" w:ascii="仿宋" w:hAnsi="仿宋" w:eastAsia="仿宋" w:cs="仿宋_GB2312"/>
          <w:sz w:val="32"/>
          <w:szCs w:val="32"/>
        </w:rPr>
        <w:t>2022年计划清退欧美黑杨21887亩，</w:t>
      </w:r>
      <w:r>
        <w:rPr>
          <w:rFonts w:hint="eastAsia" w:ascii="仿宋" w:hAnsi="仿宋" w:eastAsia="仿宋" w:cs="仿宋_GB2312"/>
          <w:bCs/>
          <w:color w:val="000000"/>
          <w:sz w:val="32"/>
          <w:szCs w:val="32"/>
        </w:rPr>
        <w:t>涉及7个镇（街道、中心）和市直单位。因</w:t>
      </w:r>
      <w:r>
        <w:rPr>
          <w:rFonts w:hint="eastAsia" w:ascii="仿宋" w:hAnsi="仿宋" w:eastAsia="仿宋" w:cs="仿宋_GB2312"/>
          <w:sz w:val="32"/>
          <w:szCs w:val="32"/>
        </w:rPr>
        <w:t>受持续干旱天气影响，省林业局同意</w:t>
      </w:r>
      <w:r>
        <w:rPr>
          <w:rFonts w:hint="eastAsia" w:ascii="仿宋" w:hAnsi="仿宋" w:eastAsia="仿宋"/>
          <w:sz w:val="32"/>
          <w:szCs w:val="32"/>
        </w:rPr>
        <w:t>将我市2022年度欧美黑杨清退任务调整为</w:t>
      </w:r>
      <w:r>
        <w:rPr>
          <w:rFonts w:hint="eastAsia" w:ascii="仿宋" w:hAnsi="仿宋" w:eastAsia="仿宋" w:cs="仿宋_GB2312"/>
          <w:sz w:val="32"/>
          <w:szCs w:val="32"/>
        </w:rPr>
        <w:t>18389亩。</w:t>
      </w:r>
      <w:r>
        <w:rPr>
          <w:rFonts w:hint="eastAsia" w:ascii="仿宋" w:hAnsi="仿宋" w:eastAsia="仿宋" w:cs="仿宋_GB2312"/>
          <w:bCs/>
          <w:color w:val="000000"/>
          <w:sz w:val="32"/>
          <w:szCs w:val="32"/>
        </w:rPr>
        <w:t>截至11月30日，已清退18389亩，</w:t>
      </w:r>
      <w:r>
        <w:rPr>
          <w:rFonts w:hint="eastAsia" w:ascii="仿宋" w:hAnsi="仿宋" w:eastAsia="仿宋" w:cs="仿宋_GB2312"/>
          <w:sz w:val="32"/>
          <w:szCs w:val="32"/>
        </w:rPr>
        <w:t>完成了2022年度欧美黑杨清退阶段性销号</w:t>
      </w:r>
      <w:r>
        <w:rPr>
          <w:rFonts w:hint="eastAsia" w:ascii="仿宋" w:hAnsi="仿宋" w:eastAsia="仿宋" w:cs="仿宋_GB2312"/>
          <w:bCs/>
          <w:color w:val="000000"/>
          <w:sz w:val="32"/>
          <w:szCs w:val="32"/>
        </w:rPr>
        <w:t>。同时，</w:t>
      </w:r>
      <w:r>
        <w:rPr>
          <w:rFonts w:hint="eastAsia" w:ascii="仿宋" w:hAnsi="仿宋" w:eastAsia="仿宋" w:cs="仿宋_GB2312"/>
          <w:sz w:val="32"/>
          <w:szCs w:val="32"/>
        </w:rPr>
        <w:t>加强巡查监管，严禁保护区内新植欧美黑杨。</w:t>
      </w:r>
    </w:p>
    <w:p>
      <w:pPr>
        <w:spacing w:line="600" w:lineRule="exact"/>
        <w:ind w:firstLine="646"/>
        <w:rPr>
          <w:rFonts w:ascii="仿宋" w:hAnsi="仿宋" w:eastAsia="仿宋" w:cs="仿宋_GB2312"/>
          <w:color w:val="000000"/>
          <w:sz w:val="32"/>
          <w:szCs w:val="32"/>
        </w:rPr>
      </w:pPr>
      <w:r>
        <w:rPr>
          <w:rFonts w:hint="eastAsia" w:ascii="仿宋" w:hAnsi="仿宋" w:eastAsia="仿宋" w:cs="仿宋_GB2312"/>
          <w:bCs/>
          <w:sz w:val="32"/>
          <w:szCs w:val="32"/>
        </w:rPr>
        <w:t>3.认真开展湿地保护与修复。</w:t>
      </w:r>
      <w:r>
        <w:rPr>
          <w:rFonts w:hint="eastAsia" w:ascii="仿宋" w:hAnsi="仿宋" w:eastAsia="仿宋" w:cs="仿宋_GB2312"/>
          <w:sz w:val="32"/>
          <w:szCs w:val="32"/>
        </w:rPr>
        <w:t>对南洞庭国际重要湿地、全市主要天然湿地、重要人工湿地开展日常湿地巡护监管，</w:t>
      </w:r>
      <w:r>
        <w:rPr>
          <w:rFonts w:hint="eastAsia" w:ascii="仿宋" w:hAnsi="仿宋" w:eastAsia="仿宋" w:cs="仿宋_GB2312"/>
          <w:color w:val="000000"/>
          <w:sz w:val="32"/>
          <w:szCs w:val="32"/>
        </w:rPr>
        <w:t>完成自然湿地岸线生态修复9千米、洲滩湿地生态基围修复40公顷、自然恢复133公顷、人工辅助修复10公顷、微地形改造4公顷、陆生动物生态廊道建设工程10公顷。琼湖国家湿地公园获评省级“优秀单位”，</w:t>
      </w:r>
      <w:r>
        <w:rPr>
          <w:rFonts w:hint="eastAsia" w:ascii="仿宋" w:hAnsi="仿宋" w:eastAsia="仿宋" w:cs="仿宋_GB2312"/>
          <w:sz w:val="32"/>
          <w:szCs w:val="32"/>
        </w:rPr>
        <w:t>在全省林业工作会议上就湿地保护与修复工作作典型发言。</w:t>
      </w:r>
    </w:p>
    <w:p>
      <w:pPr>
        <w:spacing w:line="600" w:lineRule="exact"/>
        <w:ind w:firstLine="640" w:firstLineChars="200"/>
        <w:rPr>
          <w:rFonts w:ascii="楷体" w:hAnsi="楷体" w:eastAsia="楷体" w:cs="仿宋_GB2312"/>
          <w:bCs/>
          <w:sz w:val="32"/>
          <w:szCs w:val="32"/>
        </w:rPr>
      </w:pPr>
      <w:r>
        <w:rPr>
          <w:rFonts w:hint="eastAsia" w:ascii="楷体" w:hAnsi="楷体" w:eastAsia="楷体" w:cs="仿宋_GB2312"/>
          <w:bCs/>
          <w:sz w:val="32"/>
          <w:szCs w:val="32"/>
        </w:rPr>
        <w:t>（五）加速推进绿色发展</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bCs/>
          <w:sz w:val="32"/>
          <w:szCs w:val="32"/>
        </w:rPr>
        <w:t>1.稳步推进林业项目建设。</w:t>
      </w:r>
      <w:r>
        <w:rPr>
          <w:rFonts w:hint="eastAsia" w:ascii="仿宋" w:hAnsi="仿宋" w:eastAsia="仿宋" w:cs="仿宋_GB2312"/>
          <w:sz w:val="32"/>
          <w:szCs w:val="32"/>
        </w:rPr>
        <w:t>积极与上级部门对接项目，以项目为载体，促推林业高质量发展。申报了山水林田湖草沙一体化保护和修复工程、林业草原、生态保护修复、湖南琼湖国家湿地公园保护修复等项目，向上级申报项目资金2.6亿元。目前，已到位项目资金2562.12万元，其中：沅江市2021年武陵山区生物多样性保护工程1088万元、沅江市洞庭湖区湿地生态保护与修复项目510万元、造林补助资金162万元、森林抚育补助资金106万元、野生动植物保护项目资金75万元、林木良种培育项目资金60万元、野生动物疫源疫病监测防控50万元，大通湖湖体及湖泊缓冲带水生态修复项目450万元，森林防火、植物检疫、天然林保护和林路养护等项目资金61.12万元。</w:t>
      </w:r>
    </w:p>
    <w:p>
      <w:pPr>
        <w:spacing w:line="600" w:lineRule="exact"/>
        <w:ind w:firstLine="641"/>
        <w:rPr>
          <w:rFonts w:ascii="仿宋" w:hAnsi="仿宋" w:eastAsia="仿宋" w:cs="Times New Roman"/>
          <w:sz w:val="32"/>
          <w:szCs w:val="32"/>
        </w:rPr>
      </w:pPr>
      <w:r>
        <w:rPr>
          <w:rFonts w:hint="eastAsia" w:ascii="仿宋" w:hAnsi="仿宋" w:eastAsia="仿宋" w:cs="仿宋_GB2312"/>
          <w:bCs/>
          <w:sz w:val="32"/>
          <w:szCs w:val="32"/>
        </w:rPr>
        <w:t>2.继续保持林业产业健康发展。</w:t>
      </w:r>
      <w:r>
        <w:rPr>
          <w:rFonts w:hint="eastAsia" w:ascii="仿宋" w:hAnsi="仿宋" w:eastAsia="仿宋" w:cs="仿宋_GB2312"/>
          <w:sz w:val="32"/>
          <w:szCs w:val="32"/>
        </w:rPr>
        <w:t>今年，已</w:t>
      </w:r>
      <w:r>
        <w:rPr>
          <w:rFonts w:hint="eastAsia" w:ascii="仿宋" w:hAnsi="仿宋" w:eastAsia="仿宋" w:cs="仿宋_GB2312"/>
          <w:color w:val="000000"/>
          <w:sz w:val="32"/>
          <w:szCs w:val="32"/>
        </w:rPr>
        <w:t>发展油菜、吴茱萸、木槿等林下经济1.1万亩，预计产值1.2亿元</w:t>
      </w:r>
      <w:r>
        <w:rPr>
          <w:rFonts w:hint="eastAsia" w:ascii="仿宋" w:hAnsi="仿宋" w:eastAsia="仿宋" w:cs="仿宋_GB2312"/>
          <w:sz w:val="32"/>
          <w:szCs w:val="32"/>
        </w:rPr>
        <w:t>。</w:t>
      </w:r>
      <w:r>
        <w:rPr>
          <w:rFonts w:hint="eastAsia" w:ascii="仿宋" w:hAnsi="仿宋" w:eastAsia="仿宋" w:cs="Times New Roman"/>
          <w:sz w:val="32"/>
          <w:szCs w:val="32"/>
        </w:rPr>
        <w:t>以“两园两区”为载体，发展森林康养和森林湿地生态旅游，已联系第三方单位，准备就我市龙虎山国有林场发展森林旅游、森林康养开展可研规划，为“产业强市”注入林业元素。</w:t>
      </w:r>
      <w:r>
        <w:rPr>
          <w:rFonts w:hint="eastAsia" w:ascii="仿宋" w:hAnsi="仿宋" w:eastAsia="仿宋" w:cs="仿宋_GB2312"/>
          <w:sz w:val="32"/>
          <w:szCs w:val="32"/>
        </w:rPr>
        <w:t xml:space="preserve"> </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bCs/>
          <w:sz w:val="32"/>
          <w:szCs w:val="32"/>
        </w:rPr>
        <w:t>3.进一步规范林政资源管理。</w:t>
      </w:r>
      <w:r>
        <w:rPr>
          <w:rFonts w:hint="eastAsia" w:ascii="仿宋" w:hAnsi="仿宋" w:eastAsia="仿宋" w:cs="Times New Roman"/>
          <w:sz w:val="32"/>
          <w:szCs w:val="32"/>
        </w:rPr>
        <w:t>规范森林采伐限额管理，建立资源管理“一张图”林湿草审核审批协调机制，禁止非法毁林毁湿毁草。</w:t>
      </w:r>
      <w:r>
        <w:rPr>
          <w:rFonts w:hint="eastAsia" w:ascii="仿宋" w:hAnsi="仿宋" w:eastAsia="仿宋" w:cs="仿宋_GB2312"/>
          <w:sz w:val="32"/>
          <w:szCs w:val="32"/>
        </w:rPr>
        <w:t>同时，积极服务全市20余家木材加工企业，加强安全生产监管，优化营商环境，促进企业健康发展。</w:t>
      </w:r>
    </w:p>
    <w:p>
      <w:pPr>
        <w:ind w:firstLine="640"/>
        <w:rPr>
          <w:rFonts w:ascii="仿宋" w:hAnsi="仿宋" w:eastAsia="仿宋"/>
          <w:sz w:val="32"/>
          <w:szCs w:val="24"/>
        </w:rPr>
      </w:pPr>
      <w:r>
        <w:rPr>
          <w:rFonts w:hint="eastAsia" w:ascii="仿宋" w:hAnsi="仿宋" w:eastAsia="仿宋"/>
          <w:sz w:val="32"/>
          <w:szCs w:val="24"/>
        </w:rPr>
        <w:t>二、收入支出预算执行情况分析</w:t>
      </w:r>
    </w:p>
    <w:p>
      <w:pPr>
        <w:ind w:firstLine="643"/>
        <w:rPr>
          <w:rFonts w:ascii="仿宋" w:hAnsi="仿宋" w:eastAsia="仿宋"/>
          <w:b/>
          <w:sz w:val="32"/>
          <w:szCs w:val="24"/>
        </w:rPr>
      </w:pPr>
      <w:r>
        <w:rPr>
          <w:rFonts w:hint="eastAsia" w:ascii="仿宋" w:hAnsi="仿宋" w:eastAsia="仿宋"/>
          <w:b/>
          <w:sz w:val="32"/>
          <w:szCs w:val="24"/>
        </w:rPr>
        <w:t>（一）收入支出预算安排情况。</w:t>
      </w:r>
    </w:p>
    <w:p>
      <w:pPr>
        <w:ind w:firstLine="640"/>
        <w:rPr>
          <w:rFonts w:ascii="仿宋" w:hAnsi="仿宋" w:eastAsia="仿宋"/>
          <w:sz w:val="32"/>
          <w:szCs w:val="24"/>
        </w:rPr>
      </w:pPr>
      <w:r>
        <w:rPr>
          <w:rFonts w:ascii="仿宋" w:hAnsi="仿宋" w:eastAsia="仿宋"/>
          <w:sz w:val="32"/>
          <w:szCs w:val="24"/>
        </w:rPr>
        <w:t>202</w:t>
      </w:r>
      <w:r>
        <w:rPr>
          <w:rFonts w:hint="eastAsia" w:ascii="仿宋" w:hAnsi="仿宋" w:eastAsia="仿宋"/>
          <w:sz w:val="32"/>
          <w:szCs w:val="24"/>
          <w:lang w:val="en-US" w:eastAsia="zh-CN"/>
        </w:rPr>
        <w:t>2</w:t>
      </w:r>
      <w:r>
        <w:rPr>
          <w:rFonts w:hint="eastAsia" w:ascii="仿宋" w:hAnsi="仿宋" w:eastAsia="仿宋"/>
          <w:sz w:val="32"/>
          <w:szCs w:val="24"/>
        </w:rPr>
        <w:t>年，本部门年初预算收入</w:t>
      </w:r>
      <w:r>
        <w:rPr>
          <w:rFonts w:hint="eastAsia" w:ascii="仿宋" w:hAnsi="仿宋" w:eastAsia="仿宋"/>
          <w:color w:val="000000"/>
          <w:sz w:val="32"/>
          <w:szCs w:val="24"/>
          <w:lang w:val="en-US" w:eastAsia="zh-CN"/>
        </w:rPr>
        <w:t>1018.47</w:t>
      </w:r>
      <w:r>
        <w:rPr>
          <w:rFonts w:hint="eastAsia" w:ascii="仿宋" w:hAnsi="仿宋" w:eastAsia="仿宋"/>
          <w:sz w:val="32"/>
          <w:szCs w:val="24"/>
        </w:rPr>
        <w:t>万元，比上年</w:t>
      </w:r>
      <w:r>
        <w:rPr>
          <w:rFonts w:hint="eastAsia" w:ascii="仿宋" w:hAnsi="仿宋" w:eastAsia="仿宋"/>
          <w:sz w:val="32"/>
          <w:szCs w:val="24"/>
          <w:lang w:eastAsia="zh-CN"/>
        </w:rPr>
        <w:t>减少</w:t>
      </w:r>
      <w:r>
        <w:rPr>
          <w:rFonts w:hint="eastAsia" w:ascii="仿宋" w:hAnsi="仿宋" w:eastAsia="仿宋"/>
          <w:sz w:val="28"/>
          <w:szCs w:val="24"/>
          <w:lang w:val="en-US" w:eastAsia="zh-CN"/>
        </w:rPr>
        <w:t>203.25</w:t>
      </w:r>
      <w:r>
        <w:rPr>
          <w:rFonts w:hint="eastAsia" w:ascii="仿宋" w:hAnsi="仿宋" w:eastAsia="仿宋"/>
          <w:sz w:val="32"/>
          <w:szCs w:val="24"/>
        </w:rPr>
        <w:t>万元，增长</w:t>
      </w:r>
      <w:r>
        <w:rPr>
          <w:rFonts w:hint="eastAsia" w:ascii="仿宋" w:hAnsi="仿宋" w:eastAsia="仿宋"/>
          <w:sz w:val="32"/>
          <w:szCs w:val="24"/>
          <w:lang w:val="en-US" w:eastAsia="zh-CN"/>
        </w:rPr>
        <w:t>16.64</w:t>
      </w:r>
      <w:r>
        <w:rPr>
          <w:rFonts w:ascii="仿宋" w:hAnsi="仿宋" w:eastAsia="仿宋"/>
          <w:sz w:val="32"/>
          <w:szCs w:val="24"/>
        </w:rPr>
        <w:t>%,</w:t>
      </w:r>
      <w:r>
        <w:rPr>
          <w:rFonts w:hint="eastAsia" w:ascii="仿宋" w:hAnsi="仿宋" w:eastAsia="仿宋"/>
          <w:sz w:val="32"/>
          <w:szCs w:val="24"/>
          <w:lang w:val="zh-CN"/>
        </w:rPr>
        <w:t>增减变化的主要原因是</w:t>
      </w:r>
      <w:r>
        <w:rPr>
          <w:rFonts w:hint="eastAsia" w:ascii="仿宋" w:hAnsi="仿宋" w:eastAsia="仿宋"/>
          <w:sz w:val="32"/>
          <w:szCs w:val="24"/>
        </w:rPr>
        <w:t>：</w:t>
      </w:r>
      <w:r>
        <w:rPr>
          <w:rFonts w:hint="eastAsia" w:ascii="仿宋" w:hAnsi="仿宋" w:eastAsia="仿宋"/>
          <w:sz w:val="32"/>
          <w:szCs w:val="24"/>
          <w:lang w:eastAsia="zh-CN"/>
        </w:rPr>
        <w:t>植被恢复费和杨树清退项目资金减少</w:t>
      </w:r>
      <w:r>
        <w:rPr>
          <w:rFonts w:hint="eastAsia" w:ascii="仿宋" w:hAnsi="仿宋" w:eastAsia="仿宋"/>
          <w:sz w:val="32"/>
          <w:szCs w:val="24"/>
        </w:rPr>
        <w:t>。其中：一般公共预算财政拨款收入年初预算</w:t>
      </w:r>
      <w:r>
        <w:rPr>
          <w:rFonts w:hint="eastAsia" w:ascii="仿宋" w:hAnsi="仿宋" w:eastAsia="仿宋"/>
          <w:sz w:val="28"/>
          <w:szCs w:val="24"/>
          <w:lang w:val="en-US" w:eastAsia="zh-CN"/>
        </w:rPr>
        <w:t>1018.47</w:t>
      </w:r>
      <w:r>
        <w:rPr>
          <w:rFonts w:hint="eastAsia" w:ascii="仿宋" w:hAnsi="仿宋" w:eastAsia="仿宋"/>
          <w:sz w:val="32"/>
          <w:szCs w:val="24"/>
        </w:rPr>
        <w:t>万元，比上年</w:t>
      </w:r>
      <w:r>
        <w:rPr>
          <w:rFonts w:hint="eastAsia" w:ascii="仿宋" w:hAnsi="仿宋" w:eastAsia="仿宋"/>
          <w:sz w:val="32"/>
          <w:szCs w:val="24"/>
          <w:lang w:eastAsia="zh-CN"/>
        </w:rPr>
        <w:t>减少</w:t>
      </w:r>
      <w:r>
        <w:rPr>
          <w:rFonts w:hint="eastAsia" w:ascii="仿宋" w:hAnsi="仿宋" w:eastAsia="仿宋"/>
          <w:sz w:val="28"/>
          <w:szCs w:val="24"/>
          <w:lang w:val="en-US" w:eastAsia="zh-CN"/>
        </w:rPr>
        <w:t>203.25</w:t>
      </w:r>
      <w:r>
        <w:rPr>
          <w:rFonts w:hint="eastAsia" w:ascii="仿宋" w:hAnsi="仿宋" w:eastAsia="仿宋"/>
          <w:sz w:val="32"/>
          <w:szCs w:val="24"/>
        </w:rPr>
        <w:t>万元；政府性基金预算财政拨款收入年初预算</w:t>
      </w:r>
      <w:r>
        <w:rPr>
          <w:rFonts w:ascii="仿宋" w:hAnsi="仿宋" w:eastAsia="仿宋"/>
          <w:sz w:val="28"/>
          <w:szCs w:val="24"/>
        </w:rPr>
        <w:t>0</w:t>
      </w:r>
      <w:r>
        <w:rPr>
          <w:rFonts w:hint="eastAsia" w:ascii="仿宋" w:hAnsi="仿宋" w:eastAsia="仿宋"/>
          <w:sz w:val="32"/>
          <w:szCs w:val="24"/>
        </w:rPr>
        <w:t>万元，比上年增减</w:t>
      </w:r>
      <w:r>
        <w:rPr>
          <w:rFonts w:ascii="仿宋" w:hAnsi="仿宋" w:eastAsia="仿宋"/>
          <w:sz w:val="28"/>
          <w:szCs w:val="24"/>
        </w:rPr>
        <w:t>0</w:t>
      </w:r>
      <w:r>
        <w:rPr>
          <w:rFonts w:hint="eastAsia" w:ascii="仿宋" w:hAnsi="仿宋" w:eastAsia="仿宋"/>
          <w:sz w:val="32"/>
          <w:szCs w:val="24"/>
        </w:rPr>
        <w:t>万元；上级补助收入年初预算</w:t>
      </w:r>
      <w:r>
        <w:rPr>
          <w:rFonts w:ascii="仿宋" w:hAnsi="仿宋" w:eastAsia="仿宋"/>
          <w:sz w:val="28"/>
          <w:szCs w:val="24"/>
        </w:rPr>
        <w:t>0</w:t>
      </w:r>
      <w:r>
        <w:rPr>
          <w:rFonts w:hint="eastAsia" w:ascii="仿宋" w:hAnsi="仿宋" w:eastAsia="仿宋"/>
          <w:sz w:val="32"/>
          <w:szCs w:val="24"/>
        </w:rPr>
        <w:t>万元，比上年增减</w:t>
      </w:r>
      <w:r>
        <w:rPr>
          <w:rFonts w:ascii="仿宋" w:hAnsi="仿宋" w:eastAsia="仿宋"/>
          <w:sz w:val="28"/>
          <w:szCs w:val="24"/>
        </w:rPr>
        <w:t>0</w:t>
      </w:r>
      <w:r>
        <w:rPr>
          <w:rFonts w:hint="eastAsia" w:ascii="仿宋" w:hAnsi="仿宋" w:eastAsia="仿宋"/>
          <w:sz w:val="32"/>
          <w:szCs w:val="24"/>
        </w:rPr>
        <w:t>万元；事业收入年初预算</w:t>
      </w:r>
      <w:r>
        <w:rPr>
          <w:rFonts w:ascii="仿宋" w:hAnsi="仿宋" w:eastAsia="仿宋"/>
          <w:sz w:val="28"/>
          <w:szCs w:val="24"/>
        </w:rPr>
        <w:t>0</w:t>
      </w:r>
      <w:r>
        <w:rPr>
          <w:rFonts w:hint="eastAsia" w:ascii="仿宋" w:hAnsi="仿宋" w:eastAsia="仿宋"/>
          <w:sz w:val="32"/>
          <w:szCs w:val="24"/>
        </w:rPr>
        <w:t>万元，比上年增减</w:t>
      </w:r>
      <w:r>
        <w:rPr>
          <w:rFonts w:ascii="仿宋" w:hAnsi="仿宋" w:eastAsia="仿宋"/>
          <w:sz w:val="28"/>
          <w:szCs w:val="24"/>
        </w:rPr>
        <w:t>0</w:t>
      </w:r>
      <w:r>
        <w:rPr>
          <w:rFonts w:hint="eastAsia" w:ascii="仿宋" w:hAnsi="仿宋" w:eastAsia="仿宋"/>
          <w:sz w:val="32"/>
          <w:szCs w:val="24"/>
        </w:rPr>
        <w:t>万元；经营收入年初预算收入</w:t>
      </w:r>
      <w:r>
        <w:rPr>
          <w:rFonts w:ascii="仿宋" w:hAnsi="仿宋" w:eastAsia="仿宋"/>
          <w:sz w:val="28"/>
          <w:szCs w:val="24"/>
        </w:rPr>
        <w:t>0</w:t>
      </w:r>
      <w:r>
        <w:rPr>
          <w:rFonts w:hint="eastAsia" w:ascii="仿宋" w:hAnsi="仿宋" w:eastAsia="仿宋"/>
          <w:sz w:val="32"/>
          <w:szCs w:val="24"/>
        </w:rPr>
        <w:t>万元，比上年增减</w:t>
      </w:r>
      <w:r>
        <w:rPr>
          <w:rFonts w:ascii="仿宋" w:hAnsi="仿宋" w:eastAsia="仿宋"/>
          <w:sz w:val="28"/>
          <w:szCs w:val="24"/>
        </w:rPr>
        <w:t>0</w:t>
      </w:r>
      <w:r>
        <w:rPr>
          <w:rFonts w:hint="eastAsia" w:ascii="仿宋" w:hAnsi="仿宋" w:eastAsia="仿宋"/>
          <w:sz w:val="32"/>
          <w:szCs w:val="24"/>
        </w:rPr>
        <w:t>万元；附属单位上缴收入年初预算收入</w:t>
      </w:r>
      <w:r>
        <w:rPr>
          <w:rFonts w:ascii="仿宋" w:hAnsi="仿宋" w:eastAsia="仿宋"/>
          <w:sz w:val="28"/>
          <w:szCs w:val="24"/>
        </w:rPr>
        <w:t>0</w:t>
      </w:r>
      <w:r>
        <w:rPr>
          <w:rFonts w:hint="eastAsia" w:ascii="仿宋" w:hAnsi="仿宋" w:eastAsia="仿宋"/>
          <w:sz w:val="32"/>
          <w:szCs w:val="24"/>
        </w:rPr>
        <w:t>万元，比上年增减</w:t>
      </w:r>
      <w:r>
        <w:rPr>
          <w:rFonts w:ascii="仿宋" w:hAnsi="仿宋" w:eastAsia="仿宋"/>
          <w:sz w:val="28"/>
          <w:szCs w:val="24"/>
        </w:rPr>
        <w:t>0</w:t>
      </w:r>
      <w:r>
        <w:rPr>
          <w:rFonts w:hint="eastAsia" w:ascii="仿宋" w:hAnsi="仿宋" w:eastAsia="仿宋"/>
          <w:sz w:val="32"/>
          <w:szCs w:val="24"/>
        </w:rPr>
        <w:t>万元；其他收入年初预算收入</w:t>
      </w:r>
      <w:r>
        <w:rPr>
          <w:rFonts w:ascii="仿宋" w:hAnsi="仿宋" w:eastAsia="仿宋"/>
          <w:sz w:val="28"/>
          <w:szCs w:val="24"/>
        </w:rPr>
        <w:t>0</w:t>
      </w:r>
      <w:r>
        <w:rPr>
          <w:rFonts w:hint="eastAsia" w:ascii="仿宋" w:hAnsi="仿宋" w:eastAsia="仿宋"/>
          <w:sz w:val="32"/>
          <w:szCs w:val="24"/>
        </w:rPr>
        <w:t>万元，比上年增减</w:t>
      </w:r>
      <w:r>
        <w:rPr>
          <w:rFonts w:ascii="仿宋" w:hAnsi="仿宋" w:eastAsia="仿宋"/>
          <w:sz w:val="28"/>
          <w:szCs w:val="24"/>
        </w:rPr>
        <w:t>0</w:t>
      </w:r>
      <w:r>
        <w:rPr>
          <w:rFonts w:hint="eastAsia" w:ascii="仿宋" w:hAnsi="仿宋" w:eastAsia="仿宋"/>
          <w:sz w:val="32"/>
          <w:szCs w:val="24"/>
        </w:rPr>
        <w:t>万元。年度执行中因单位人数变动及单位事权调整，预算跟随调整情况。</w:t>
      </w:r>
    </w:p>
    <w:p>
      <w:pPr>
        <w:ind w:firstLine="643"/>
        <w:rPr>
          <w:rFonts w:ascii="仿宋" w:hAnsi="仿宋" w:eastAsia="仿宋"/>
          <w:b/>
          <w:sz w:val="32"/>
          <w:szCs w:val="24"/>
        </w:rPr>
      </w:pPr>
      <w:r>
        <w:rPr>
          <w:rFonts w:hint="eastAsia" w:ascii="仿宋" w:hAnsi="仿宋" w:eastAsia="仿宋"/>
          <w:b/>
          <w:sz w:val="32"/>
          <w:szCs w:val="24"/>
        </w:rPr>
        <w:t>（二）收入支出预算执行情况。</w:t>
      </w:r>
    </w:p>
    <w:p>
      <w:pPr>
        <w:ind w:firstLine="640" w:firstLineChars="200"/>
        <w:rPr>
          <w:rFonts w:ascii="仿宋" w:hAnsi="仿宋" w:eastAsia="仿宋"/>
          <w:sz w:val="32"/>
          <w:szCs w:val="24"/>
        </w:rPr>
      </w:pPr>
      <w:r>
        <w:rPr>
          <w:rFonts w:ascii="仿宋" w:hAnsi="仿宋" w:eastAsia="仿宋"/>
          <w:sz w:val="32"/>
          <w:szCs w:val="24"/>
        </w:rPr>
        <w:t>202</w:t>
      </w:r>
      <w:r>
        <w:rPr>
          <w:rFonts w:hint="eastAsia" w:ascii="仿宋" w:hAnsi="仿宋" w:eastAsia="仿宋"/>
          <w:sz w:val="32"/>
          <w:szCs w:val="24"/>
          <w:lang w:val="en-US" w:eastAsia="zh-CN"/>
        </w:rPr>
        <w:t>2</w:t>
      </w:r>
      <w:r>
        <w:rPr>
          <w:rFonts w:hint="eastAsia" w:ascii="仿宋" w:hAnsi="仿宋" w:eastAsia="仿宋"/>
          <w:sz w:val="32"/>
          <w:szCs w:val="24"/>
        </w:rPr>
        <w:t>年收入实际完成</w:t>
      </w:r>
      <w:r>
        <w:rPr>
          <w:rFonts w:hint="eastAsia" w:ascii="仿宋" w:hAnsi="仿宋" w:eastAsia="仿宋"/>
          <w:sz w:val="28"/>
          <w:szCs w:val="24"/>
          <w:lang w:val="en-US" w:eastAsia="zh-CN"/>
        </w:rPr>
        <w:t>3784.33</w:t>
      </w:r>
      <w:r>
        <w:rPr>
          <w:rFonts w:hint="eastAsia" w:ascii="仿宋" w:hAnsi="仿宋" w:eastAsia="仿宋"/>
          <w:sz w:val="32"/>
          <w:szCs w:val="24"/>
        </w:rPr>
        <w:t>万元，比上年增加</w:t>
      </w:r>
      <w:r>
        <w:rPr>
          <w:rFonts w:hint="eastAsia" w:ascii="仿宋" w:hAnsi="仿宋" w:eastAsia="仿宋"/>
          <w:sz w:val="32"/>
          <w:szCs w:val="24"/>
          <w:lang w:val="en-US" w:eastAsia="zh-CN"/>
        </w:rPr>
        <w:t>1375.95</w:t>
      </w:r>
      <w:r>
        <w:rPr>
          <w:rFonts w:hint="eastAsia" w:ascii="仿宋" w:hAnsi="仿宋" w:eastAsia="仿宋"/>
          <w:sz w:val="32"/>
          <w:szCs w:val="24"/>
        </w:rPr>
        <w:t>万元，增长</w:t>
      </w:r>
      <w:r>
        <w:rPr>
          <w:rFonts w:hint="eastAsia" w:ascii="仿宋" w:hAnsi="仿宋" w:eastAsia="仿宋"/>
          <w:sz w:val="32"/>
          <w:szCs w:val="24"/>
          <w:lang w:val="en-US" w:eastAsia="zh-CN"/>
        </w:rPr>
        <w:t>57.13</w:t>
      </w:r>
      <w:r>
        <w:rPr>
          <w:rFonts w:ascii="仿宋" w:hAnsi="仿宋" w:eastAsia="仿宋"/>
          <w:sz w:val="32"/>
          <w:szCs w:val="24"/>
        </w:rPr>
        <w:t>%</w:t>
      </w:r>
      <w:r>
        <w:rPr>
          <w:rFonts w:hint="eastAsia" w:ascii="仿宋" w:hAnsi="仿宋" w:eastAsia="仿宋"/>
          <w:sz w:val="32"/>
          <w:szCs w:val="24"/>
        </w:rPr>
        <w:t>。主要原因是：</w:t>
      </w:r>
      <w:r>
        <w:rPr>
          <w:rFonts w:hint="eastAsia" w:ascii="仿宋" w:hAnsi="仿宋" w:eastAsia="仿宋"/>
          <w:sz w:val="28"/>
          <w:szCs w:val="24"/>
        </w:rPr>
        <w:t>项目的增加</w:t>
      </w:r>
      <w:r>
        <w:rPr>
          <w:rFonts w:hint="eastAsia" w:ascii="仿宋" w:hAnsi="仿宋" w:eastAsia="仿宋"/>
          <w:sz w:val="32"/>
          <w:szCs w:val="24"/>
        </w:rPr>
        <w:t>。</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年度财政拨款支出</w:t>
      </w:r>
      <w:r>
        <w:rPr>
          <w:rFonts w:hint="eastAsia" w:ascii="仿宋" w:hAnsi="仿宋" w:eastAsia="仿宋"/>
          <w:sz w:val="32"/>
          <w:szCs w:val="32"/>
          <w:lang w:val="en-US" w:eastAsia="zh-CN"/>
        </w:rPr>
        <w:t>3572.15</w:t>
      </w:r>
      <w:r>
        <w:rPr>
          <w:rFonts w:hint="eastAsia" w:ascii="仿宋" w:hAnsi="仿宋" w:eastAsia="仿宋"/>
          <w:sz w:val="32"/>
          <w:szCs w:val="32"/>
        </w:rPr>
        <w:t>万元，占本年支出合计的</w:t>
      </w:r>
      <w:r>
        <w:rPr>
          <w:rFonts w:hint="eastAsia" w:ascii="仿宋" w:hAnsi="仿宋" w:eastAsia="仿宋"/>
          <w:sz w:val="32"/>
          <w:szCs w:val="32"/>
          <w:lang w:val="en-US" w:eastAsia="zh-CN"/>
        </w:rPr>
        <w:t>94.39</w:t>
      </w:r>
      <w:r>
        <w:rPr>
          <w:rFonts w:hint="eastAsia" w:ascii="仿宋" w:hAnsi="仿宋" w:eastAsia="仿宋"/>
          <w:sz w:val="32"/>
          <w:szCs w:val="32"/>
        </w:rPr>
        <w:t>%。与202</w:t>
      </w:r>
      <w:r>
        <w:rPr>
          <w:rFonts w:hint="eastAsia" w:ascii="仿宋" w:hAnsi="仿宋" w:eastAsia="仿宋"/>
          <w:sz w:val="32"/>
          <w:szCs w:val="32"/>
          <w:lang w:val="en-US" w:eastAsia="zh-CN"/>
        </w:rPr>
        <w:t>1</w:t>
      </w:r>
      <w:r>
        <w:rPr>
          <w:rFonts w:hint="eastAsia" w:ascii="仿宋" w:hAnsi="仿宋" w:eastAsia="仿宋"/>
          <w:sz w:val="32"/>
          <w:szCs w:val="32"/>
        </w:rPr>
        <w:t>年度相比，比上年增加</w:t>
      </w:r>
      <w:r>
        <w:rPr>
          <w:rFonts w:hint="eastAsia" w:ascii="仿宋" w:hAnsi="仿宋" w:eastAsia="仿宋"/>
          <w:sz w:val="32"/>
          <w:szCs w:val="32"/>
          <w:lang w:val="en-US" w:eastAsia="zh-CN"/>
        </w:rPr>
        <w:t>1938.83</w:t>
      </w:r>
      <w:r>
        <w:rPr>
          <w:rFonts w:hint="eastAsia" w:ascii="仿宋" w:hAnsi="仿宋" w:eastAsia="仿宋"/>
          <w:sz w:val="32"/>
          <w:szCs w:val="32"/>
        </w:rPr>
        <w:t>万元，主要原因增加了</w:t>
      </w:r>
      <w:r>
        <w:rPr>
          <w:rFonts w:hint="eastAsia" w:ascii="仿宋" w:hAnsi="仿宋" w:eastAsia="仿宋"/>
          <w:sz w:val="32"/>
          <w:szCs w:val="32"/>
          <w:lang w:eastAsia="zh-CN"/>
        </w:rPr>
        <w:t>湿地生态修复保护</w:t>
      </w:r>
      <w:r>
        <w:rPr>
          <w:rFonts w:hint="eastAsia" w:ascii="仿宋" w:hAnsi="仿宋" w:eastAsia="仿宋"/>
          <w:sz w:val="32"/>
          <w:szCs w:val="32"/>
        </w:rPr>
        <w:t>资金的支出</w:t>
      </w:r>
      <w:r>
        <w:rPr>
          <w:rFonts w:hint="eastAsia" w:ascii="仿宋" w:hAnsi="仿宋" w:eastAsia="仿宋"/>
          <w:sz w:val="32"/>
          <w:szCs w:val="24"/>
        </w:rPr>
        <w:t>；政府性基金财政拨款收入完成</w:t>
      </w:r>
      <w:r>
        <w:rPr>
          <w:rFonts w:hint="eastAsia" w:ascii="仿宋" w:hAnsi="仿宋" w:eastAsia="仿宋"/>
          <w:sz w:val="28"/>
          <w:szCs w:val="24"/>
          <w:lang w:val="en-US" w:eastAsia="zh-CN"/>
        </w:rPr>
        <w:t>313.14</w:t>
      </w:r>
      <w:r>
        <w:rPr>
          <w:rFonts w:hint="eastAsia" w:ascii="仿宋" w:hAnsi="仿宋" w:eastAsia="仿宋"/>
          <w:sz w:val="32"/>
          <w:szCs w:val="24"/>
        </w:rPr>
        <w:t>万元，比上年</w:t>
      </w:r>
      <w:r>
        <w:rPr>
          <w:rFonts w:hint="eastAsia" w:ascii="仿宋" w:hAnsi="仿宋" w:eastAsia="仿宋"/>
          <w:sz w:val="32"/>
          <w:szCs w:val="24"/>
          <w:lang w:eastAsia="zh-CN"/>
        </w:rPr>
        <w:t>增加</w:t>
      </w:r>
      <w:r>
        <w:rPr>
          <w:rFonts w:hint="eastAsia" w:ascii="仿宋" w:hAnsi="仿宋" w:eastAsia="仿宋"/>
          <w:sz w:val="32"/>
          <w:szCs w:val="24"/>
          <w:lang w:val="en-US" w:eastAsia="zh-CN"/>
        </w:rPr>
        <w:t>306.14</w:t>
      </w:r>
      <w:r>
        <w:rPr>
          <w:rFonts w:hint="eastAsia" w:ascii="仿宋" w:hAnsi="仿宋" w:eastAsia="仿宋"/>
          <w:sz w:val="32"/>
          <w:szCs w:val="24"/>
        </w:rPr>
        <w:t>万元，增长</w:t>
      </w:r>
      <w:r>
        <w:rPr>
          <w:rFonts w:hint="eastAsia" w:ascii="仿宋" w:hAnsi="仿宋" w:eastAsia="仿宋"/>
          <w:sz w:val="32"/>
          <w:szCs w:val="32"/>
          <w:lang w:val="en-US" w:eastAsia="zh-CN"/>
        </w:rPr>
        <w:t>437.34</w:t>
      </w:r>
      <w:r>
        <w:rPr>
          <w:rFonts w:ascii="仿宋" w:hAnsi="仿宋" w:eastAsia="仿宋"/>
          <w:sz w:val="32"/>
          <w:szCs w:val="24"/>
          <w:lang w:val="zh-CN"/>
        </w:rPr>
        <w:t>%</w:t>
      </w:r>
      <w:r>
        <w:rPr>
          <w:rFonts w:hint="eastAsia" w:ascii="仿宋" w:hAnsi="仿宋" w:eastAsia="仿宋"/>
          <w:sz w:val="32"/>
          <w:szCs w:val="24"/>
          <w:lang w:val="zh-CN"/>
        </w:rPr>
        <w:t>，变化的主要原因是：增加洞庭湖失地生态修复</w:t>
      </w:r>
      <w:r>
        <w:rPr>
          <w:rFonts w:hint="eastAsia" w:ascii="仿宋" w:hAnsi="仿宋" w:eastAsia="仿宋"/>
          <w:sz w:val="32"/>
          <w:szCs w:val="24"/>
        </w:rPr>
        <w:t>；上级补助收入完成</w:t>
      </w:r>
      <w:r>
        <w:rPr>
          <w:rFonts w:ascii="仿宋" w:hAnsi="仿宋" w:eastAsia="仿宋"/>
          <w:sz w:val="28"/>
          <w:szCs w:val="24"/>
        </w:rPr>
        <w:t>0</w:t>
      </w:r>
      <w:r>
        <w:rPr>
          <w:rFonts w:hint="eastAsia" w:ascii="仿宋" w:hAnsi="仿宋" w:eastAsia="仿宋"/>
          <w:sz w:val="32"/>
          <w:szCs w:val="24"/>
        </w:rPr>
        <w:t>万元，比上年</w:t>
      </w:r>
      <w:r>
        <w:rPr>
          <w:rFonts w:ascii="仿宋" w:hAnsi="仿宋" w:eastAsia="仿宋"/>
          <w:sz w:val="28"/>
          <w:szCs w:val="24"/>
        </w:rPr>
        <w:t>0</w:t>
      </w:r>
      <w:r>
        <w:rPr>
          <w:rFonts w:hint="eastAsia" w:ascii="仿宋" w:hAnsi="仿宋" w:eastAsia="仿宋"/>
          <w:sz w:val="32"/>
          <w:szCs w:val="24"/>
        </w:rPr>
        <w:t>万元；事业收入完成</w:t>
      </w:r>
      <w:r>
        <w:rPr>
          <w:rFonts w:ascii="仿宋" w:hAnsi="仿宋" w:eastAsia="仿宋"/>
          <w:sz w:val="28"/>
          <w:szCs w:val="24"/>
        </w:rPr>
        <w:t>0</w:t>
      </w:r>
      <w:r>
        <w:rPr>
          <w:rFonts w:hint="eastAsia" w:ascii="仿宋" w:hAnsi="仿宋" w:eastAsia="仿宋"/>
          <w:sz w:val="32"/>
          <w:szCs w:val="24"/>
        </w:rPr>
        <w:t>万元，比上年</w:t>
      </w:r>
      <w:r>
        <w:rPr>
          <w:rFonts w:ascii="仿宋" w:hAnsi="仿宋" w:eastAsia="仿宋"/>
          <w:sz w:val="28"/>
          <w:szCs w:val="24"/>
        </w:rPr>
        <w:t>0</w:t>
      </w:r>
      <w:r>
        <w:rPr>
          <w:rFonts w:hint="eastAsia" w:ascii="仿宋" w:hAnsi="仿宋" w:eastAsia="仿宋"/>
          <w:sz w:val="32"/>
          <w:szCs w:val="24"/>
        </w:rPr>
        <w:t>万元，增长</w:t>
      </w:r>
      <w:r>
        <w:rPr>
          <w:rFonts w:ascii="仿宋" w:hAnsi="仿宋" w:eastAsia="仿宋"/>
          <w:sz w:val="32"/>
          <w:szCs w:val="24"/>
        </w:rPr>
        <w:t>(</w:t>
      </w:r>
      <w:r>
        <w:rPr>
          <w:rFonts w:hint="eastAsia" w:ascii="仿宋" w:hAnsi="仿宋" w:eastAsia="仿宋"/>
          <w:sz w:val="32"/>
          <w:szCs w:val="24"/>
        </w:rPr>
        <w:t>下降</w:t>
      </w:r>
      <w:r>
        <w:rPr>
          <w:rFonts w:ascii="仿宋" w:hAnsi="仿宋" w:eastAsia="仿宋"/>
          <w:sz w:val="32"/>
          <w:szCs w:val="24"/>
        </w:rPr>
        <w:t>)</w:t>
      </w:r>
      <w:r>
        <w:rPr>
          <w:rFonts w:ascii="仿宋" w:hAnsi="仿宋" w:eastAsia="仿宋"/>
          <w:sz w:val="28"/>
          <w:szCs w:val="24"/>
        </w:rPr>
        <w:t>0</w:t>
      </w:r>
      <w:r>
        <w:rPr>
          <w:rFonts w:ascii="仿宋" w:hAnsi="仿宋" w:eastAsia="仿宋"/>
          <w:sz w:val="32"/>
          <w:szCs w:val="24"/>
          <w:lang w:val="zh-CN"/>
        </w:rPr>
        <w:t>%</w:t>
      </w:r>
      <w:r>
        <w:rPr>
          <w:rFonts w:hint="eastAsia" w:ascii="仿宋" w:hAnsi="仿宋" w:eastAsia="仿宋"/>
          <w:sz w:val="32"/>
          <w:szCs w:val="24"/>
          <w:lang w:val="zh-CN"/>
        </w:rPr>
        <w:t>，变化的主要原因是：</w:t>
      </w:r>
      <w:r>
        <w:rPr>
          <w:rFonts w:hint="eastAsia" w:ascii="仿宋" w:hAnsi="仿宋" w:eastAsia="仿宋"/>
          <w:sz w:val="32"/>
          <w:szCs w:val="24"/>
        </w:rPr>
        <w:t>；经营收入完成</w:t>
      </w:r>
      <w:r>
        <w:rPr>
          <w:rFonts w:ascii="仿宋" w:hAnsi="仿宋" w:eastAsia="仿宋"/>
          <w:sz w:val="28"/>
          <w:szCs w:val="24"/>
        </w:rPr>
        <w:t>0</w:t>
      </w:r>
      <w:r>
        <w:rPr>
          <w:rFonts w:hint="eastAsia" w:ascii="仿宋" w:hAnsi="仿宋" w:eastAsia="仿宋"/>
          <w:sz w:val="32"/>
          <w:szCs w:val="24"/>
        </w:rPr>
        <w:t>万元，比上年</w:t>
      </w:r>
      <w:r>
        <w:rPr>
          <w:rFonts w:ascii="仿宋" w:hAnsi="仿宋" w:eastAsia="仿宋"/>
          <w:sz w:val="28"/>
          <w:szCs w:val="24"/>
        </w:rPr>
        <w:t>0</w:t>
      </w:r>
      <w:r>
        <w:rPr>
          <w:rFonts w:hint="eastAsia" w:ascii="仿宋" w:hAnsi="仿宋" w:eastAsia="仿宋"/>
          <w:sz w:val="32"/>
          <w:szCs w:val="24"/>
        </w:rPr>
        <w:t>万元</w:t>
      </w:r>
      <w:r>
        <w:rPr>
          <w:rFonts w:ascii="仿宋" w:hAnsi="仿宋" w:eastAsia="仿宋"/>
          <w:sz w:val="32"/>
          <w:szCs w:val="24"/>
        </w:rPr>
        <w:t>,</w:t>
      </w:r>
      <w:r>
        <w:rPr>
          <w:rFonts w:hint="eastAsia" w:ascii="仿宋" w:hAnsi="仿宋" w:eastAsia="仿宋"/>
          <w:sz w:val="32"/>
          <w:szCs w:val="24"/>
        </w:rPr>
        <w:t>增长</w:t>
      </w:r>
      <w:r>
        <w:rPr>
          <w:rFonts w:ascii="仿宋" w:hAnsi="仿宋" w:eastAsia="仿宋"/>
          <w:sz w:val="32"/>
          <w:szCs w:val="24"/>
        </w:rPr>
        <w:t>(</w:t>
      </w:r>
      <w:r>
        <w:rPr>
          <w:rFonts w:hint="eastAsia" w:ascii="仿宋" w:hAnsi="仿宋" w:eastAsia="仿宋"/>
          <w:sz w:val="32"/>
          <w:szCs w:val="24"/>
        </w:rPr>
        <w:t>下降</w:t>
      </w:r>
      <w:r>
        <w:rPr>
          <w:rFonts w:ascii="仿宋" w:hAnsi="仿宋" w:eastAsia="仿宋"/>
          <w:sz w:val="32"/>
          <w:szCs w:val="24"/>
        </w:rPr>
        <w:t>)</w:t>
      </w:r>
      <w:r>
        <w:rPr>
          <w:rFonts w:ascii="仿宋" w:hAnsi="仿宋" w:eastAsia="仿宋"/>
          <w:sz w:val="28"/>
          <w:szCs w:val="24"/>
        </w:rPr>
        <w:t>0</w:t>
      </w:r>
      <w:r>
        <w:rPr>
          <w:rFonts w:ascii="仿宋" w:hAnsi="仿宋" w:eastAsia="仿宋"/>
          <w:sz w:val="32"/>
          <w:szCs w:val="24"/>
          <w:lang w:val="zh-CN"/>
        </w:rPr>
        <w:t>%</w:t>
      </w:r>
      <w:r>
        <w:rPr>
          <w:rFonts w:hint="eastAsia" w:ascii="仿宋" w:hAnsi="仿宋" w:eastAsia="仿宋"/>
          <w:sz w:val="32"/>
          <w:szCs w:val="24"/>
          <w:lang w:val="zh-CN"/>
        </w:rPr>
        <w:t>，变化的主要原因是：</w:t>
      </w:r>
      <w:r>
        <w:rPr>
          <w:rFonts w:hint="eastAsia" w:ascii="仿宋" w:hAnsi="仿宋" w:eastAsia="仿宋"/>
          <w:sz w:val="32"/>
          <w:szCs w:val="24"/>
        </w:rPr>
        <w:t>；附属单位上缴收入完成</w:t>
      </w:r>
      <w:r>
        <w:rPr>
          <w:rFonts w:ascii="仿宋" w:hAnsi="仿宋" w:eastAsia="仿宋"/>
          <w:sz w:val="28"/>
          <w:szCs w:val="24"/>
        </w:rPr>
        <w:t>0</w:t>
      </w:r>
      <w:r>
        <w:rPr>
          <w:rFonts w:hint="eastAsia" w:ascii="仿宋" w:hAnsi="仿宋" w:eastAsia="仿宋"/>
          <w:sz w:val="32"/>
          <w:szCs w:val="24"/>
        </w:rPr>
        <w:t>万元，比上年</w:t>
      </w:r>
      <w:r>
        <w:rPr>
          <w:rFonts w:ascii="仿宋" w:hAnsi="仿宋" w:eastAsia="仿宋"/>
          <w:sz w:val="28"/>
          <w:szCs w:val="24"/>
        </w:rPr>
        <w:t>0</w:t>
      </w:r>
      <w:r>
        <w:rPr>
          <w:rFonts w:hint="eastAsia" w:ascii="仿宋" w:hAnsi="仿宋" w:eastAsia="仿宋"/>
          <w:sz w:val="32"/>
          <w:szCs w:val="24"/>
        </w:rPr>
        <w:t>万元；其他收入完成</w:t>
      </w:r>
      <w:r>
        <w:rPr>
          <w:rFonts w:hint="eastAsia" w:ascii="仿宋" w:hAnsi="仿宋" w:eastAsia="仿宋"/>
          <w:sz w:val="28"/>
          <w:szCs w:val="24"/>
          <w:lang w:val="en-US" w:eastAsia="zh-CN"/>
        </w:rPr>
        <w:t>212.18</w:t>
      </w:r>
      <w:r>
        <w:rPr>
          <w:rFonts w:hint="eastAsia" w:ascii="仿宋" w:hAnsi="仿宋" w:eastAsia="仿宋"/>
          <w:sz w:val="32"/>
          <w:szCs w:val="24"/>
        </w:rPr>
        <w:t>万元，比上年</w:t>
      </w:r>
      <w:r>
        <w:rPr>
          <w:rFonts w:hint="eastAsia" w:ascii="仿宋" w:hAnsi="仿宋" w:eastAsia="仿宋"/>
          <w:sz w:val="28"/>
          <w:szCs w:val="24"/>
          <w:lang w:eastAsia="zh-CN"/>
        </w:rPr>
        <w:t>减少</w:t>
      </w:r>
      <w:r>
        <w:rPr>
          <w:rFonts w:hint="eastAsia" w:ascii="仿宋" w:hAnsi="仿宋" w:eastAsia="仿宋"/>
          <w:sz w:val="28"/>
          <w:szCs w:val="24"/>
          <w:lang w:val="en-US" w:eastAsia="zh-CN"/>
        </w:rPr>
        <w:t>618.88</w:t>
      </w:r>
      <w:r>
        <w:rPr>
          <w:rFonts w:hint="eastAsia" w:ascii="仿宋" w:hAnsi="仿宋" w:eastAsia="仿宋"/>
          <w:sz w:val="32"/>
          <w:szCs w:val="24"/>
        </w:rPr>
        <w:t>万元，</w:t>
      </w:r>
      <w:r>
        <w:rPr>
          <w:rFonts w:hint="eastAsia" w:ascii="仿宋" w:hAnsi="仿宋" w:eastAsia="仿宋"/>
          <w:sz w:val="32"/>
          <w:szCs w:val="24"/>
          <w:lang w:eastAsia="zh-CN"/>
        </w:rPr>
        <w:t>减少</w:t>
      </w:r>
      <w:r>
        <w:rPr>
          <w:rFonts w:hint="eastAsia" w:ascii="仿宋" w:hAnsi="仿宋" w:eastAsia="仿宋"/>
          <w:sz w:val="32"/>
          <w:szCs w:val="24"/>
          <w:lang w:val="en-US" w:eastAsia="zh-CN"/>
        </w:rPr>
        <w:t>74.47</w:t>
      </w:r>
      <w:r>
        <w:rPr>
          <w:rFonts w:ascii="仿宋" w:hAnsi="仿宋" w:eastAsia="仿宋"/>
          <w:sz w:val="32"/>
          <w:szCs w:val="24"/>
          <w:lang w:val="zh-CN"/>
        </w:rPr>
        <w:t>%</w:t>
      </w:r>
      <w:r>
        <w:rPr>
          <w:rFonts w:hint="eastAsia" w:ascii="仿宋" w:hAnsi="仿宋" w:eastAsia="仿宋"/>
          <w:sz w:val="32"/>
          <w:szCs w:val="24"/>
          <w:lang w:val="zh-CN"/>
        </w:rPr>
        <w:t>，变化的主要原因是：</w:t>
      </w:r>
      <w:r>
        <w:rPr>
          <w:rFonts w:hint="eastAsia" w:ascii="仿宋" w:hAnsi="仿宋" w:eastAsia="仿宋"/>
          <w:sz w:val="28"/>
          <w:szCs w:val="24"/>
        </w:rPr>
        <w:t>湿地修复项目资金</w:t>
      </w:r>
      <w:r>
        <w:rPr>
          <w:rFonts w:hint="eastAsia" w:ascii="仿宋" w:hAnsi="仿宋" w:eastAsia="仿宋"/>
          <w:sz w:val="28"/>
          <w:szCs w:val="24"/>
          <w:lang w:eastAsia="zh-CN"/>
        </w:rPr>
        <w:t>减少</w:t>
      </w:r>
      <w:r>
        <w:rPr>
          <w:rFonts w:hint="eastAsia" w:ascii="仿宋" w:hAnsi="仿宋" w:eastAsia="仿宋"/>
          <w:sz w:val="32"/>
          <w:szCs w:val="24"/>
        </w:rPr>
        <w:t>。</w:t>
      </w:r>
    </w:p>
    <w:p>
      <w:p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一般公共预算拨款支出</w:t>
      </w:r>
      <w:r>
        <w:rPr>
          <w:rFonts w:hint="eastAsia" w:ascii="仿宋_GB2312" w:eastAsia="仿宋_GB2312"/>
          <w:sz w:val="32"/>
          <w:szCs w:val="32"/>
          <w:highlight w:val="none"/>
          <w:lang w:val="en-US" w:eastAsia="zh-CN"/>
        </w:rPr>
        <w:t>3572.15</w:t>
      </w:r>
      <w:r>
        <w:rPr>
          <w:rFonts w:hint="eastAsia" w:ascii="仿宋_GB2312" w:eastAsia="仿宋_GB2312"/>
          <w:sz w:val="32"/>
          <w:szCs w:val="32"/>
          <w:highlight w:val="none"/>
        </w:rPr>
        <w:t>万元，主要用于以下方面：一般公共服务支出</w:t>
      </w:r>
      <w:r>
        <w:rPr>
          <w:rFonts w:hint="eastAsia" w:ascii="仿宋_GB2312" w:eastAsia="仿宋_GB2312"/>
          <w:sz w:val="32"/>
          <w:szCs w:val="32"/>
          <w:highlight w:val="none"/>
          <w:lang w:val="en-US" w:eastAsia="zh-CN"/>
        </w:rPr>
        <w:t>28</w:t>
      </w:r>
      <w:r>
        <w:rPr>
          <w:rFonts w:hint="eastAsia" w:ascii="仿宋_GB2312" w:eastAsia="仿宋_GB2312"/>
          <w:sz w:val="32"/>
          <w:szCs w:val="32"/>
          <w:highlight w:val="none"/>
        </w:rPr>
        <w:t>万元, 占本年支出的</w:t>
      </w:r>
      <w:r>
        <w:rPr>
          <w:rFonts w:hint="eastAsia" w:ascii="仿宋_GB2312" w:eastAsia="仿宋_GB2312"/>
          <w:sz w:val="32"/>
          <w:szCs w:val="32"/>
          <w:highlight w:val="none"/>
          <w:lang w:val="en-US" w:eastAsia="zh-CN"/>
        </w:rPr>
        <w:t>0.78</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8.76</w:t>
      </w:r>
      <w:r>
        <w:rPr>
          <w:rFonts w:hint="eastAsia" w:ascii="仿宋_GB2312" w:eastAsia="仿宋_GB2312"/>
          <w:sz w:val="32"/>
          <w:szCs w:val="32"/>
          <w:highlight w:val="none"/>
        </w:rPr>
        <w:t>万元，占本年支出的</w:t>
      </w:r>
      <w:r>
        <w:rPr>
          <w:rFonts w:hint="eastAsia" w:ascii="仿宋_GB2312" w:eastAsia="仿宋_GB2312"/>
          <w:sz w:val="32"/>
          <w:szCs w:val="32"/>
          <w:highlight w:val="none"/>
          <w:lang w:val="en-US" w:eastAsia="zh-CN"/>
        </w:rPr>
        <w:t>0.24</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节能环保支出</w:t>
      </w:r>
      <w:r>
        <w:rPr>
          <w:rFonts w:hint="eastAsia" w:ascii="仿宋_GB2312" w:eastAsia="仿宋_GB2312"/>
          <w:sz w:val="32"/>
          <w:szCs w:val="32"/>
          <w:highlight w:val="none"/>
          <w:lang w:val="en-US" w:eastAsia="zh-CN"/>
        </w:rPr>
        <w:t>806.52</w:t>
      </w:r>
      <w:r>
        <w:rPr>
          <w:rFonts w:hint="eastAsia" w:ascii="仿宋_GB2312" w:eastAsia="仿宋_GB2312"/>
          <w:sz w:val="32"/>
          <w:szCs w:val="32"/>
          <w:highlight w:val="none"/>
        </w:rPr>
        <w:t>万元，占本年支出的</w:t>
      </w:r>
      <w:r>
        <w:rPr>
          <w:rFonts w:hint="eastAsia" w:ascii="仿宋_GB2312" w:eastAsia="仿宋_GB2312"/>
          <w:sz w:val="32"/>
          <w:szCs w:val="32"/>
          <w:highlight w:val="none"/>
          <w:lang w:val="en-US" w:eastAsia="zh-CN"/>
        </w:rPr>
        <w:t>22.58</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；城乡社区</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万元，占本年支出的</w:t>
      </w:r>
      <w:r>
        <w:rPr>
          <w:rFonts w:hint="eastAsia" w:ascii="仿宋_GB2312" w:eastAsia="仿宋_GB2312"/>
          <w:sz w:val="32"/>
          <w:szCs w:val="32"/>
          <w:highlight w:val="none"/>
          <w:lang w:val="en-US" w:eastAsia="zh-CN"/>
        </w:rPr>
        <w:t>0.01</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农林水支出</w:t>
      </w:r>
      <w:r>
        <w:rPr>
          <w:rFonts w:hint="eastAsia" w:ascii="仿宋_GB2312" w:eastAsia="仿宋_GB2312"/>
          <w:sz w:val="32"/>
          <w:szCs w:val="32"/>
          <w:highlight w:val="none"/>
          <w:lang w:val="en-US" w:eastAsia="zh-CN"/>
        </w:rPr>
        <w:t>2657.30</w:t>
      </w:r>
      <w:r>
        <w:rPr>
          <w:rFonts w:hint="eastAsia" w:ascii="仿宋_GB2312" w:eastAsia="仿宋_GB2312"/>
          <w:sz w:val="32"/>
          <w:szCs w:val="32"/>
          <w:highlight w:val="none"/>
        </w:rPr>
        <w:t>万元，占本年支出的</w:t>
      </w:r>
      <w:r>
        <w:rPr>
          <w:rFonts w:hint="eastAsia" w:ascii="仿宋_GB2312" w:eastAsia="仿宋_GB2312"/>
          <w:sz w:val="32"/>
          <w:szCs w:val="32"/>
          <w:highlight w:val="none"/>
          <w:lang w:val="en-US" w:eastAsia="zh-CN"/>
        </w:rPr>
        <w:t>74.39</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；住房保障</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61.07</w:t>
      </w:r>
      <w:r>
        <w:rPr>
          <w:rFonts w:hint="eastAsia" w:ascii="仿宋_GB2312" w:eastAsia="仿宋_GB2312"/>
          <w:sz w:val="32"/>
          <w:szCs w:val="32"/>
          <w:highlight w:val="none"/>
        </w:rPr>
        <w:t>万元，占本年支出的</w:t>
      </w:r>
      <w:r>
        <w:rPr>
          <w:rFonts w:hint="eastAsia" w:ascii="仿宋_GB2312" w:eastAsia="仿宋_GB2312"/>
          <w:sz w:val="32"/>
          <w:szCs w:val="32"/>
          <w:highlight w:val="none"/>
          <w:lang w:val="en-US" w:eastAsia="zh-CN"/>
        </w:rPr>
        <w:t>1.72</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；其他</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万元，占本年支出的</w:t>
      </w:r>
      <w:r>
        <w:rPr>
          <w:rFonts w:hint="eastAsia" w:ascii="仿宋_GB2312" w:eastAsia="仿宋_GB2312"/>
          <w:sz w:val="32"/>
          <w:szCs w:val="32"/>
          <w:highlight w:val="none"/>
          <w:lang w:val="en-US" w:eastAsia="zh-CN"/>
        </w:rPr>
        <w:t>0.28</w:t>
      </w:r>
      <w:r>
        <w:rPr>
          <w:rFonts w:hint="eastAsia" w:ascii="仿宋_GB2312" w:eastAsia="仿宋_GB2312"/>
          <w:sz w:val="32"/>
          <w:szCs w:val="32"/>
          <w:highlight w:val="none"/>
        </w:rPr>
        <w:t>%</w:t>
      </w:r>
      <w:r>
        <w:rPr>
          <w:rFonts w:hint="eastAsia" w:ascii="仿宋" w:hAnsi="仿宋" w:eastAsia="仿宋"/>
          <w:sz w:val="32"/>
          <w:szCs w:val="24"/>
          <w:highlight w:val="none"/>
        </w:rPr>
        <w:t>。</w:t>
      </w:r>
    </w:p>
    <w:p>
      <w:pPr>
        <w:ind w:firstLine="643"/>
        <w:rPr>
          <w:rFonts w:ascii="仿宋" w:hAnsi="仿宋" w:eastAsia="仿宋"/>
          <w:b/>
          <w:sz w:val="32"/>
          <w:szCs w:val="24"/>
        </w:rPr>
      </w:pPr>
      <w:r>
        <w:rPr>
          <w:rFonts w:ascii="仿宋" w:hAnsi="仿宋" w:eastAsia="仿宋"/>
          <w:b/>
          <w:sz w:val="32"/>
          <w:szCs w:val="24"/>
        </w:rPr>
        <w:t>1</w:t>
      </w:r>
      <w:r>
        <w:rPr>
          <w:rFonts w:hint="eastAsia" w:ascii="仿宋" w:hAnsi="仿宋" w:eastAsia="仿宋"/>
          <w:b/>
          <w:sz w:val="32"/>
          <w:szCs w:val="24"/>
        </w:rPr>
        <w:t>．支出按经济分类科目分析。</w:t>
      </w:r>
    </w:p>
    <w:p>
      <w:pPr>
        <w:ind w:firstLine="645"/>
        <w:rPr>
          <w:rFonts w:ascii="仿宋_GB2312" w:eastAsia="仿宋_GB2312"/>
          <w:sz w:val="32"/>
          <w:szCs w:val="32"/>
        </w:rPr>
      </w:pPr>
      <w:r>
        <w:rPr>
          <w:rFonts w:hint="eastAsia" w:ascii="仿宋" w:hAnsi="仿宋" w:eastAsia="仿宋"/>
          <w:sz w:val="32"/>
          <w:szCs w:val="24"/>
        </w:rPr>
        <w:t>（</w:t>
      </w:r>
      <w:r>
        <w:rPr>
          <w:rFonts w:ascii="仿宋" w:hAnsi="仿宋" w:eastAsia="仿宋"/>
          <w:sz w:val="32"/>
          <w:szCs w:val="24"/>
        </w:rPr>
        <w:t>1</w:t>
      </w:r>
      <w:r>
        <w:rPr>
          <w:rFonts w:hint="eastAsia" w:ascii="仿宋" w:hAnsi="仿宋" w:eastAsia="仿宋"/>
          <w:sz w:val="32"/>
          <w:szCs w:val="24"/>
        </w:rPr>
        <w:t>）</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年度“三公”经费财政拨款支出预算数为</w:t>
      </w:r>
      <w:r>
        <w:rPr>
          <w:rFonts w:hint="eastAsia" w:ascii="仿宋_GB2312" w:eastAsia="仿宋_GB2312"/>
          <w:sz w:val="32"/>
          <w:szCs w:val="32"/>
          <w:lang w:val="en-US" w:eastAsia="zh-CN"/>
        </w:rPr>
        <w:t>0</w:t>
      </w:r>
      <w:r>
        <w:rPr>
          <w:rFonts w:hint="eastAsia" w:ascii="仿宋_GB2312" w:eastAsia="仿宋_GB2312"/>
          <w:sz w:val="32"/>
          <w:szCs w:val="32"/>
        </w:rPr>
        <w:t>万元，支出决算数为</w:t>
      </w:r>
      <w:r>
        <w:rPr>
          <w:rFonts w:hint="eastAsia" w:ascii="仿宋_GB2312" w:eastAsia="仿宋_GB2312"/>
          <w:sz w:val="32"/>
          <w:szCs w:val="32"/>
          <w:lang w:val="en-US" w:eastAsia="zh-CN"/>
        </w:rPr>
        <w:t>4.43</w:t>
      </w:r>
      <w:r>
        <w:rPr>
          <w:rFonts w:hint="eastAsia" w:ascii="仿宋_GB2312" w:eastAsia="仿宋_GB2312"/>
          <w:sz w:val="32"/>
          <w:szCs w:val="32"/>
        </w:rPr>
        <w:t>元，202</w:t>
      </w:r>
      <w:r>
        <w:rPr>
          <w:rFonts w:hint="eastAsia" w:ascii="仿宋_GB2312" w:eastAsia="仿宋_GB2312"/>
          <w:sz w:val="32"/>
          <w:szCs w:val="32"/>
          <w:lang w:val="en-US" w:eastAsia="zh-CN"/>
        </w:rPr>
        <w:t>2</w:t>
      </w:r>
      <w:r>
        <w:rPr>
          <w:rFonts w:hint="eastAsia" w:ascii="仿宋_GB2312" w:eastAsia="仿宋_GB2312"/>
          <w:sz w:val="32"/>
          <w:szCs w:val="32"/>
        </w:rPr>
        <w:t>年度“三公”经费财政拨款支出决算中，具体情况如下：公务接待费决算数为</w:t>
      </w:r>
      <w:r>
        <w:rPr>
          <w:rFonts w:hint="eastAsia" w:ascii="仿宋_GB2312" w:eastAsia="仿宋_GB2312"/>
          <w:sz w:val="32"/>
          <w:szCs w:val="32"/>
          <w:lang w:val="en-US" w:eastAsia="zh-CN"/>
        </w:rPr>
        <w:t>3.74</w:t>
      </w:r>
      <w:r>
        <w:rPr>
          <w:rFonts w:hint="eastAsia" w:ascii="仿宋_GB2312" w:eastAsia="仿宋_GB2312"/>
          <w:sz w:val="32"/>
          <w:szCs w:val="32"/>
        </w:rPr>
        <w:t>万元，占</w:t>
      </w:r>
      <w:r>
        <w:rPr>
          <w:rFonts w:hint="eastAsia" w:ascii="仿宋_GB2312" w:eastAsia="仿宋_GB2312"/>
          <w:sz w:val="32"/>
          <w:szCs w:val="32"/>
          <w:highlight w:val="none"/>
          <w:lang w:val="en-US" w:eastAsia="zh-CN"/>
        </w:rPr>
        <w:t>84.42</w:t>
      </w:r>
      <w:r>
        <w:rPr>
          <w:rFonts w:hint="eastAsia" w:ascii="仿宋_GB2312" w:eastAsia="仿宋_GB2312"/>
          <w:sz w:val="32"/>
          <w:szCs w:val="32"/>
          <w:highlight w:val="none"/>
        </w:rPr>
        <w:t>%。公务用车维护费</w:t>
      </w:r>
      <w:r>
        <w:rPr>
          <w:rFonts w:hint="eastAsia" w:ascii="仿宋_GB2312" w:eastAsia="仿宋_GB2312"/>
          <w:sz w:val="32"/>
          <w:szCs w:val="32"/>
          <w:highlight w:val="none"/>
          <w:lang w:val="en-US" w:eastAsia="zh-CN"/>
        </w:rPr>
        <w:t>0.69</w:t>
      </w:r>
      <w:r>
        <w:rPr>
          <w:rFonts w:hint="eastAsia" w:ascii="仿宋_GB2312" w:eastAsia="仿宋_GB2312"/>
          <w:sz w:val="32"/>
          <w:szCs w:val="32"/>
          <w:highlight w:val="none"/>
        </w:rPr>
        <w:t>万元，占15.</w:t>
      </w:r>
      <w:r>
        <w:rPr>
          <w:rFonts w:hint="eastAsia" w:ascii="仿宋_GB2312" w:eastAsia="仿宋_GB2312"/>
          <w:sz w:val="32"/>
          <w:szCs w:val="32"/>
          <w:highlight w:val="none"/>
          <w:lang w:val="en-US" w:eastAsia="zh-CN"/>
        </w:rPr>
        <w:t>58</w:t>
      </w:r>
      <w:r>
        <w:rPr>
          <w:rFonts w:hint="eastAsia" w:ascii="仿宋_GB2312" w:eastAsia="仿宋_GB2312"/>
          <w:sz w:val="32"/>
          <w:szCs w:val="32"/>
          <w:highlight w:val="none"/>
        </w:rPr>
        <w:t>%。202</w:t>
      </w:r>
      <w:r>
        <w:rPr>
          <w:rFonts w:hint="eastAsia" w:ascii="仿宋_GB2312" w:eastAsia="仿宋_GB2312"/>
          <w:sz w:val="32"/>
          <w:szCs w:val="32"/>
          <w:lang w:val="en-US" w:eastAsia="zh-CN"/>
        </w:rPr>
        <w:t>2</w:t>
      </w:r>
      <w:r>
        <w:rPr>
          <w:rFonts w:hint="eastAsia" w:ascii="仿宋_GB2312" w:eastAsia="仿宋_GB2312"/>
          <w:sz w:val="32"/>
          <w:szCs w:val="32"/>
        </w:rPr>
        <w:t>年“三公”经费决算比202</w:t>
      </w:r>
      <w:r>
        <w:rPr>
          <w:rFonts w:hint="eastAsia" w:ascii="仿宋_GB2312" w:eastAsia="仿宋_GB2312"/>
          <w:sz w:val="32"/>
          <w:szCs w:val="32"/>
          <w:lang w:val="en-US" w:eastAsia="zh-CN"/>
        </w:rPr>
        <w:t>1</w:t>
      </w:r>
      <w:r>
        <w:rPr>
          <w:rFonts w:hint="eastAsia" w:ascii="仿宋_GB2312" w:eastAsia="仿宋_GB2312"/>
          <w:sz w:val="32"/>
          <w:szCs w:val="32"/>
        </w:rPr>
        <w:t>年减少</w:t>
      </w:r>
      <w:r>
        <w:rPr>
          <w:rFonts w:hint="eastAsia" w:ascii="仿宋_GB2312" w:eastAsia="仿宋_GB2312"/>
          <w:sz w:val="32"/>
          <w:szCs w:val="32"/>
          <w:lang w:val="en-US" w:eastAsia="zh-CN"/>
        </w:rPr>
        <w:t>2.47</w:t>
      </w:r>
      <w:r>
        <w:rPr>
          <w:rFonts w:hint="eastAsia" w:ascii="仿宋_GB2312" w:eastAsia="仿宋_GB2312"/>
          <w:sz w:val="32"/>
          <w:szCs w:val="32"/>
        </w:rPr>
        <w:t>万元，原因</w:t>
      </w:r>
      <w:r>
        <w:rPr>
          <w:rFonts w:hint="eastAsia" w:ascii="仿宋_GB2312" w:eastAsia="仿宋_GB2312"/>
          <w:sz w:val="32"/>
          <w:szCs w:val="32"/>
          <w:lang w:eastAsia="zh-CN"/>
        </w:rPr>
        <w:t>厉行节约缩减开支</w:t>
      </w:r>
      <w:r>
        <w:rPr>
          <w:rFonts w:hint="eastAsia" w:ascii="仿宋_GB2312" w:eastAsia="仿宋_GB2312"/>
          <w:sz w:val="32"/>
          <w:szCs w:val="32"/>
        </w:rPr>
        <w:t>。</w:t>
      </w:r>
    </w:p>
    <w:p>
      <w:pPr>
        <w:ind w:firstLine="640"/>
        <w:rPr>
          <w:rFonts w:ascii="仿宋" w:hAnsi="仿宋" w:eastAsia="仿宋"/>
          <w:sz w:val="32"/>
          <w:szCs w:val="32"/>
        </w:rPr>
      </w:pPr>
      <w:r>
        <w:rPr>
          <w:rFonts w:hint="eastAsia" w:ascii="仿宋" w:hAnsi="仿宋" w:eastAsia="仿宋"/>
          <w:sz w:val="32"/>
          <w:szCs w:val="24"/>
        </w:rPr>
        <w:t>（</w:t>
      </w:r>
      <w:r>
        <w:rPr>
          <w:rFonts w:ascii="仿宋" w:hAnsi="仿宋" w:eastAsia="仿宋"/>
          <w:sz w:val="32"/>
          <w:szCs w:val="24"/>
        </w:rPr>
        <w:t>2</w:t>
      </w:r>
      <w:r>
        <w:rPr>
          <w:rFonts w:hint="eastAsia" w:ascii="仿宋" w:hAnsi="仿宋" w:eastAsia="仿宋"/>
          <w:sz w:val="32"/>
          <w:szCs w:val="24"/>
        </w:rPr>
        <w:t>）会议费支出情况：</w:t>
      </w:r>
      <w:r>
        <w:rPr>
          <w:rFonts w:ascii="仿宋" w:hAnsi="仿宋" w:eastAsia="仿宋"/>
          <w:sz w:val="32"/>
          <w:szCs w:val="24"/>
        </w:rPr>
        <w:t>202</w:t>
      </w:r>
      <w:r>
        <w:rPr>
          <w:rFonts w:hint="eastAsia" w:ascii="仿宋" w:hAnsi="仿宋" w:eastAsia="仿宋"/>
          <w:sz w:val="32"/>
          <w:szCs w:val="24"/>
          <w:lang w:val="en-US" w:eastAsia="zh-CN"/>
        </w:rPr>
        <w:t>2</w:t>
      </w:r>
      <w:r>
        <w:rPr>
          <w:rFonts w:hint="eastAsia" w:ascii="仿宋" w:hAnsi="仿宋" w:eastAsia="仿宋"/>
          <w:sz w:val="32"/>
          <w:szCs w:val="24"/>
        </w:rPr>
        <w:t>年会议费完成</w:t>
      </w:r>
      <w:r>
        <w:rPr>
          <w:rFonts w:ascii="仿宋" w:hAnsi="仿宋" w:eastAsia="仿宋"/>
          <w:sz w:val="28"/>
          <w:szCs w:val="24"/>
        </w:rPr>
        <w:t>0</w:t>
      </w:r>
      <w:r>
        <w:rPr>
          <w:rFonts w:hint="eastAsia" w:ascii="仿宋" w:hAnsi="仿宋" w:eastAsia="仿宋"/>
          <w:sz w:val="32"/>
          <w:szCs w:val="24"/>
        </w:rPr>
        <w:t>元，比上年增</w:t>
      </w:r>
      <w:r>
        <w:rPr>
          <w:rFonts w:hint="eastAsia" w:ascii="仿宋" w:hAnsi="仿宋" w:eastAsia="仿宋"/>
          <w:sz w:val="32"/>
          <w:szCs w:val="32"/>
        </w:rPr>
        <w:t>减</w:t>
      </w:r>
      <w:r>
        <w:rPr>
          <w:rFonts w:ascii="仿宋" w:hAnsi="仿宋" w:eastAsia="仿宋"/>
          <w:sz w:val="32"/>
          <w:szCs w:val="32"/>
        </w:rPr>
        <w:t>0</w:t>
      </w:r>
      <w:r>
        <w:rPr>
          <w:rFonts w:hint="eastAsia" w:ascii="仿宋" w:hAnsi="仿宋" w:eastAsia="仿宋"/>
          <w:sz w:val="32"/>
          <w:szCs w:val="32"/>
        </w:rPr>
        <w:t>元</w:t>
      </w:r>
      <w:r>
        <w:rPr>
          <w:rFonts w:hint="eastAsia" w:ascii="仿宋" w:hAnsi="仿宋" w:eastAsia="仿宋"/>
          <w:sz w:val="32"/>
          <w:szCs w:val="32"/>
          <w:lang w:val="zh-CN"/>
        </w:rPr>
        <w:t>。</w:t>
      </w:r>
    </w:p>
    <w:p>
      <w:pPr>
        <w:ind w:firstLine="64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）培训费支出情况：</w:t>
      </w: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年培训费完成</w:t>
      </w:r>
      <w:r>
        <w:rPr>
          <w:rFonts w:hint="eastAsia" w:ascii="仿宋" w:hAnsi="仿宋" w:eastAsia="仿宋"/>
          <w:sz w:val="32"/>
          <w:szCs w:val="32"/>
          <w:lang w:val="en-US" w:eastAsia="zh-CN"/>
        </w:rPr>
        <w:t>57890</w:t>
      </w:r>
      <w:r>
        <w:rPr>
          <w:rFonts w:hint="eastAsia" w:ascii="仿宋" w:hAnsi="仿宋" w:eastAsia="仿宋"/>
          <w:sz w:val="32"/>
          <w:szCs w:val="32"/>
        </w:rPr>
        <w:t>元，比上年</w:t>
      </w:r>
      <w:r>
        <w:rPr>
          <w:rFonts w:hint="eastAsia" w:ascii="仿宋" w:hAnsi="仿宋" w:eastAsia="仿宋"/>
          <w:sz w:val="32"/>
          <w:szCs w:val="32"/>
          <w:lang w:eastAsia="zh-CN"/>
        </w:rPr>
        <w:t>增加</w:t>
      </w:r>
      <w:r>
        <w:rPr>
          <w:rFonts w:hint="eastAsia" w:ascii="仿宋" w:hAnsi="仿宋" w:eastAsia="仿宋"/>
          <w:sz w:val="32"/>
          <w:szCs w:val="32"/>
          <w:lang w:val="en-US" w:eastAsia="zh-CN"/>
        </w:rPr>
        <w:t>56836</w:t>
      </w:r>
      <w:r>
        <w:rPr>
          <w:rFonts w:hint="eastAsia" w:ascii="仿宋" w:hAnsi="仿宋" w:eastAsia="仿宋"/>
          <w:sz w:val="32"/>
          <w:szCs w:val="32"/>
        </w:rPr>
        <w:t>元，增减变化的主要原因是：</w:t>
      </w:r>
      <w:r>
        <w:rPr>
          <w:rFonts w:hint="eastAsia" w:ascii="仿宋" w:hAnsi="仿宋" w:eastAsia="仿宋"/>
          <w:sz w:val="32"/>
          <w:szCs w:val="32"/>
          <w:lang w:eastAsia="zh-CN"/>
        </w:rPr>
        <w:t>增加继续教育和候鸟保护培训费</w:t>
      </w:r>
      <w:r>
        <w:rPr>
          <w:rFonts w:hint="eastAsia" w:ascii="仿宋" w:hAnsi="仿宋" w:eastAsia="仿宋"/>
          <w:sz w:val="32"/>
          <w:szCs w:val="32"/>
          <w:lang w:val="zh-CN"/>
        </w:rPr>
        <w:t>。</w:t>
      </w:r>
    </w:p>
    <w:p>
      <w:pPr>
        <w:ind w:firstLine="640"/>
        <w:rPr>
          <w:rFonts w:ascii="仿宋" w:hAnsi="仿宋" w:eastAsia="仿宋"/>
          <w:sz w:val="32"/>
          <w:szCs w:val="24"/>
        </w:rPr>
      </w:pPr>
      <w:r>
        <w:rPr>
          <w:rFonts w:hint="eastAsia" w:ascii="仿宋" w:hAnsi="仿宋" w:eastAsia="仿宋"/>
          <w:sz w:val="32"/>
          <w:szCs w:val="24"/>
        </w:rPr>
        <w:t>（</w:t>
      </w:r>
      <w:r>
        <w:rPr>
          <w:rFonts w:ascii="仿宋" w:hAnsi="仿宋" w:eastAsia="仿宋"/>
          <w:sz w:val="32"/>
          <w:szCs w:val="24"/>
        </w:rPr>
        <w:t>4</w:t>
      </w:r>
      <w:r>
        <w:rPr>
          <w:rFonts w:hint="eastAsia" w:ascii="仿宋" w:hAnsi="仿宋" w:eastAsia="仿宋"/>
          <w:sz w:val="32"/>
          <w:szCs w:val="24"/>
        </w:rPr>
        <w:t>）其他对部门（单位）影响较大的支出情况：无</w:t>
      </w:r>
    </w:p>
    <w:p>
      <w:pPr>
        <w:ind w:firstLine="640"/>
        <w:rPr>
          <w:rFonts w:ascii="仿宋" w:hAnsi="仿宋" w:eastAsia="仿宋"/>
          <w:sz w:val="32"/>
          <w:szCs w:val="24"/>
        </w:rPr>
      </w:pPr>
      <w:r>
        <w:rPr>
          <w:rFonts w:hint="eastAsia" w:ascii="仿宋" w:hAnsi="仿宋" w:eastAsia="仿宋"/>
          <w:sz w:val="32"/>
          <w:szCs w:val="24"/>
        </w:rPr>
        <w:t>（</w:t>
      </w:r>
      <w:r>
        <w:rPr>
          <w:rFonts w:ascii="仿宋" w:hAnsi="仿宋" w:eastAsia="仿宋"/>
          <w:sz w:val="32"/>
          <w:szCs w:val="24"/>
        </w:rPr>
        <w:t>5</w:t>
      </w:r>
      <w:r>
        <w:rPr>
          <w:rFonts w:hint="eastAsia" w:ascii="仿宋" w:hAnsi="仿宋" w:eastAsia="仿宋"/>
          <w:sz w:val="32"/>
          <w:szCs w:val="24"/>
        </w:rPr>
        <w:t>）重点经济分类支出中存在的问题及改进措施：无</w:t>
      </w:r>
    </w:p>
    <w:p>
      <w:pPr>
        <w:ind w:firstLine="643"/>
        <w:rPr>
          <w:rFonts w:ascii="仿宋" w:hAnsi="仿宋" w:eastAsia="仿宋"/>
          <w:b/>
          <w:sz w:val="32"/>
          <w:szCs w:val="24"/>
        </w:rPr>
      </w:pPr>
      <w:r>
        <w:rPr>
          <w:rFonts w:hint="eastAsia" w:ascii="仿宋" w:hAnsi="仿宋" w:eastAsia="仿宋"/>
          <w:b/>
          <w:sz w:val="32"/>
          <w:szCs w:val="24"/>
        </w:rPr>
        <w:t>（三）年末结转和结余情况。</w:t>
      </w:r>
    </w:p>
    <w:p>
      <w:pPr>
        <w:ind w:firstLine="643"/>
        <w:rPr>
          <w:rFonts w:ascii="仿宋" w:hAnsi="仿宋" w:eastAsia="仿宋"/>
          <w:sz w:val="32"/>
          <w:szCs w:val="24"/>
        </w:rPr>
      </w:pPr>
      <w:r>
        <w:rPr>
          <w:rFonts w:ascii="仿宋" w:hAnsi="仿宋" w:eastAsia="仿宋"/>
          <w:sz w:val="32"/>
          <w:szCs w:val="24"/>
        </w:rPr>
        <w:t>202</w:t>
      </w:r>
      <w:r>
        <w:rPr>
          <w:rFonts w:hint="eastAsia" w:ascii="仿宋" w:hAnsi="仿宋" w:eastAsia="仿宋"/>
          <w:sz w:val="32"/>
          <w:szCs w:val="24"/>
          <w:lang w:val="en-US" w:eastAsia="zh-CN"/>
        </w:rPr>
        <w:t>2</w:t>
      </w:r>
      <w:r>
        <w:rPr>
          <w:rFonts w:hint="eastAsia" w:ascii="仿宋" w:hAnsi="仿宋" w:eastAsia="仿宋"/>
          <w:sz w:val="32"/>
          <w:szCs w:val="24"/>
        </w:rPr>
        <w:t>年，本单位年末结转和结余资金</w:t>
      </w:r>
      <w:r>
        <w:rPr>
          <w:rFonts w:hint="eastAsia" w:ascii="仿宋" w:hAnsi="仿宋" w:eastAsia="仿宋"/>
          <w:sz w:val="28"/>
          <w:szCs w:val="24"/>
        </w:rPr>
        <w:t>0</w:t>
      </w:r>
      <w:r>
        <w:rPr>
          <w:rFonts w:hint="eastAsia" w:ascii="仿宋" w:hAnsi="仿宋" w:eastAsia="仿宋"/>
          <w:sz w:val="32"/>
          <w:szCs w:val="24"/>
        </w:rPr>
        <w:t>元，比上年增减</w:t>
      </w:r>
      <w:r>
        <w:rPr>
          <w:rFonts w:hint="eastAsia" w:ascii="仿宋" w:hAnsi="仿宋" w:eastAsia="仿宋"/>
          <w:sz w:val="28"/>
          <w:szCs w:val="24"/>
          <w:lang w:val="en-US" w:eastAsia="zh-CN"/>
        </w:rPr>
        <w:t>0</w:t>
      </w:r>
      <w:r>
        <w:rPr>
          <w:rFonts w:hint="eastAsia" w:ascii="仿宋" w:hAnsi="仿宋" w:eastAsia="仿宋"/>
          <w:sz w:val="28"/>
          <w:szCs w:val="24"/>
        </w:rPr>
        <w:t>万</w:t>
      </w:r>
      <w:r>
        <w:rPr>
          <w:rFonts w:hint="eastAsia" w:ascii="仿宋" w:hAnsi="仿宋" w:eastAsia="仿宋"/>
          <w:sz w:val="32"/>
          <w:szCs w:val="24"/>
        </w:rPr>
        <w:t>元，</w:t>
      </w:r>
      <w:r>
        <w:rPr>
          <w:rFonts w:hint="eastAsia" w:ascii="仿宋" w:hAnsi="仿宋" w:eastAsia="仿宋"/>
          <w:sz w:val="28"/>
          <w:szCs w:val="24"/>
        </w:rPr>
        <w:t>增减变化的主要原因是：</w:t>
      </w:r>
      <w:r>
        <w:rPr>
          <w:rFonts w:hint="eastAsia" w:ascii="仿宋" w:hAnsi="仿宋" w:eastAsia="仿宋"/>
          <w:sz w:val="28"/>
          <w:szCs w:val="24"/>
          <w:lang w:eastAsia="zh-CN"/>
        </w:rPr>
        <w:t>无</w:t>
      </w:r>
      <w:r>
        <w:rPr>
          <w:rFonts w:hint="eastAsia" w:ascii="仿宋" w:hAnsi="仿宋" w:eastAsia="仿宋"/>
          <w:sz w:val="32"/>
          <w:szCs w:val="24"/>
          <w:lang w:val="zh-CN"/>
        </w:rPr>
        <w:t>。</w:t>
      </w:r>
    </w:p>
    <w:p>
      <w:pPr>
        <w:ind w:firstLine="643"/>
        <w:rPr>
          <w:rFonts w:ascii="仿宋" w:hAnsi="仿宋" w:eastAsia="仿宋"/>
          <w:sz w:val="32"/>
          <w:szCs w:val="24"/>
        </w:rPr>
      </w:pPr>
      <w:r>
        <w:rPr>
          <w:rFonts w:hint="eastAsia" w:ascii="仿宋" w:hAnsi="仿宋" w:eastAsia="仿宋"/>
          <w:sz w:val="32"/>
          <w:szCs w:val="24"/>
        </w:rPr>
        <w:t>（四）当年预算执行中存在问题、原因及改进措施。</w:t>
      </w:r>
    </w:p>
    <w:p>
      <w:pPr>
        <w:ind w:firstLine="640"/>
        <w:rPr>
          <w:rFonts w:ascii="仿宋" w:hAnsi="仿宋" w:eastAsia="仿宋"/>
          <w:b/>
          <w:sz w:val="32"/>
          <w:szCs w:val="24"/>
        </w:rPr>
      </w:pPr>
      <w:r>
        <w:rPr>
          <w:rFonts w:hint="eastAsia" w:ascii="仿宋" w:hAnsi="仿宋" w:eastAsia="仿宋"/>
          <w:sz w:val="32"/>
          <w:szCs w:val="24"/>
        </w:rPr>
        <w:t>三、</w:t>
      </w:r>
      <w:r>
        <w:rPr>
          <w:rFonts w:hint="eastAsia" w:ascii="仿宋" w:hAnsi="仿宋" w:eastAsia="仿宋"/>
          <w:b/>
          <w:sz w:val="32"/>
          <w:szCs w:val="24"/>
        </w:rPr>
        <w:t>绩效目标完成情况。</w:t>
      </w:r>
    </w:p>
    <w:p>
      <w:pPr>
        <w:ind w:firstLine="643"/>
        <w:rPr>
          <w:rFonts w:ascii="仿宋" w:hAnsi="仿宋" w:eastAsia="仿宋"/>
          <w:sz w:val="32"/>
          <w:szCs w:val="24"/>
        </w:rPr>
      </w:pPr>
      <w:r>
        <w:rPr>
          <w:rFonts w:hint="eastAsia" w:ascii="仿宋" w:hAnsi="仿宋" w:eastAsia="仿宋"/>
          <w:sz w:val="32"/>
          <w:szCs w:val="24"/>
        </w:rPr>
        <w:t>（一）绩效管理工作开展情况。我局积极组织，对</w:t>
      </w:r>
      <w:r>
        <w:rPr>
          <w:rFonts w:ascii="仿宋" w:hAnsi="仿宋" w:eastAsia="仿宋"/>
          <w:sz w:val="32"/>
          <w:szCs w:val="24"/>
        </w:rPr>
        <w:t>202</w:t>
      </w:r>
      <w:r>
        <w:rPr>
          <w:rFonts w:hint="eastAsia" w:ascii="仿宋" w:hAnsi="仿宋" w:eastAsia="仿宋"/>
          <w:sz w:val="32"/>
          <w:szCs w:val="24"/>
          <w:lang w:val="en-US" w:eastAsia="zh-CN"/>
        </w:rPr>
        <w:t>2</w:t>
      </w:r>
      <w:r>
        <w:rPr>
          <w:rFonts w:hint="eastAsia" w:ascii="仿宋" w:hAnsi="仿宋" w:eastAsia="仿宋"/>
          <w:sz w:val="32"/>
          <w:szCs w:val="24"/>
        </w:rPr>
        <w:t>年度部门预算绩效开展了自评。</w:t>
      </w:r>
    </w:p>
    <w:p>
      <w:pPr>
        <w:ind w:firstLine="643"/>
        <w:rPr>
          <w:rFonts w:ascii="仿宋" w:hAnsi="仿宋" w:eastAsia="仿宋"/>
          <w:sz w:val="32"/>
          <w:szCs w:val="24"/>
        </w:rPr>
      </w:pPr>
      <w:r>
        <w:rPr>
          <w:rFonts w:hint="eastAsia" w:ascii="仿宋" w:hAnsi="仿宋" w:eastAsia="仿宋"/>
          <w:sz w:val="32"/>
          <w:szCs w:val="24"/>
        </w:rPr>
        <w:t>（二）部门决算中项目绩效自评结果为</w:t>
      </w:r>
      <w:r>
        <w:rPr>
          <w:rFonts w:hint="eastAsia" w:ascii="仿宋" w:hAnsi="仿宋" w:eastAsia="仿宋"/>
          <w:sz w:val="32"/>
          <w:szCs w:val="24"/>
          <w:lang w:eastAsia="zh-CN"/>
        </w:rPr>
        <w:t>优秀</w:t>
      </w:r>
      <w:r>
        <w:rPr>
          <w:rFonts w:hint="eastAsia" w:ascii="仿宋" w:hAnsi="仿宋" w:eastAsia="仿宋"/>
          <w:sz w:val="32"/>
          <w:szCs w:val="24"/>
        </w:rPr>
        <w:t>。</w:t>
      </w:r>
    </w:p>
    <w:p>
      <w:pPr>
        <w:ind w:firstLine="643"/>
        <w:rPr>
          <w:rFonts w:hint="eastAsia" w:ascii="仿宋" w:hAnsi="仿宋" w:eastAsia="仿宋"/>
          <w:sz w:val="32"/>
          <w:szCs w:val="24"/>
        </w:rPr>
      </w:pPr>
      <w:r>
        <w:rPr>
          <w:rFonts w:hint="eastAsia" w:ascii="仿宋" w:hAnsi="仿宋" w:eastAsia="仿宋"/>
          <w:sz w:val="32"/>
          <w:szCs w:val="24"/>
        </w:rPr>
        <w:t>（三）以部门为主体开展的重点绩效评价结果。从整体情况来看，我局严格按照年初预算进行部门整体支出。所有项目都详细制定了方案，严格按方案组织实施，并加强了监督。尤其是在专项经费支出上，专款专用，按项目实施计划的进度情况进行资金拨付，无截留、无挪用等现象。</w:t>
      </w:r>
    </w:p>
    <w:p>
      <w:pPr>
        <w:ind w:firstLine="643"/>
        <w:rPr>
          <w:rFonts w:ascii="仿宋" w:hAnsi="仿宋" w:eastAsia="仿宋"/>
          <w:b/>
          <w:sz w:val="32"/>
          <w:szCs w:val="24"/>
        </w:rPr>
      </w:pPr>
      <w:r>
        <w:rPr>
          <w:rFonts w:hint="eastAsia" w:ascii="仿宋" w:hAnsi="仿宋" w:eastAsia="仿宋"/>
          <w:b/>
          <w:sz w:val="32"/>
          <w:szCs w:val="24"/>
        </w:rPr>
        <w:t>四</w:t>
      </w:r>
      <w:r>
        <w:rPr>
          <w:rFonts w:hint="eastAsia" w:ascii="仿宋" w:hAnsi="仿宋" w:eastAsia="仿宋"/>
          <w:sz w:val="32"/>
          <w:szCs w:val="24"/>
        </w:rPr>
        <w:t>、</w:t>
      </w:r>
      <w:r>
        <w:rPr>
          <w:rFonts w:hint="eastAsia" w:ascii="仿宋" w:hAnsi="仿宋" w:eastAsia="仿宋"/>
          <w:b/>
          <w:sz w:val="32"/>
          <w:szCs w:val="24"/>
        </w:rPr>
        <w:t>本年度部门决算等财务工作开展情况</w:t>
      </w:r>
    </w:p>
    <w:p>
      <w:pPr>
        <w:ind w:firstLine="643"/>
        <w:rPr>
          <w:rFonts w:ascii="仿宋" w:hAnsi="仿宋" w:eastAsia="仿宋"/>
          <w:sz w:val="32"/>
          <w:szCs w:val="24"/>
        </w:rPr>
      </w:pPr>
      <w:r>
        <w:rPr>
          <w:rFonts w:hint="eastAsia" w:ascii="仿宋" w:hAnsi="仿宋" w:eastAsia="仿宋"/>
          <w:sz w:val="32"/>
          <w:szCs w:val="24"/>
        </w:rPr>
        <w:t>预算编制方面：一是收入预算的编制坚持实事求是、积极稳妥的原则，与实际经济社会增长指标相适应；同时分科目测算，从而提高收入预算编制的科学性和准确性。二是支出预算编制坚持统筹兼顾、突出重点、有保有压，进一步优化财政支出结构，严格控制一般性支出。</w:t>
      </w:r>
    </w:p>
    <w:p>
      <w:pPr>
        <w:ind w:firstLine="643"/>
        <w:rPr>
          <w:rFonts w:ascii="仿宋" w:hAnsi="仿宋" w:eastAsia="仿宋"/>
          <w:sz w:val="32"/>
          <w:szCs w:val="24"/>
        </w:rPr>
      </w:pPr>
      <w:r>
        <w:rPr>
          <w:rFonts w:hint="eastAsia" w:ascii="仿宋" w:hAnsi="仿宋" w:eastAsia="仿宋"/>
          <w:sz w:val="32"/>
          <w:szCs w:val="24"/>
        </w:rPr>
        <w:t>决算方面：为做好单位</w:t>
      </w:r>
      <w:r>
        <w:rPr>
          <w:rFonts w:ascii="仿宋" w:hAnsi="仿宋" w:eastAsia="仿宋"/>
          <w:sz w:val="32"/>
          <w:szCs w:val="24"/>
        </w:rPr>
        <w:t>202</w:t>
      </w:r>
      <w:r>
        <w:rPr>
          <w:rFonts w:hint="eastAsia" w:ascii="仿宋" w:hAnsi="仿宋" w:eastAsia="仿宋"/>
          <w:sz w:val="32"/>
          <w:szCs w:val="24"/>
          <w:lang w:val="en-US" w:eastAsia="zh-CN"/>
        </w:rPr>
        <w:t>2</w:t>
      </w:r>
      <w:r>
        <w:rPr>
          <w:rFonts w:hint="eastAsia" w:ascii="仿宋" w:hAnsi="仿宋" w:eastAsia="仿宋"/>
          <w:sz w:val="32"/>
          <w:szCs w:val="24"/>
        </w:rPr>
        <w:t>年度财政决算工作，确保单位财政决算工作高标准、高质量、高水平完成。本单位财务人员对今年决算报表的编报范围、填报要求、主要变动事项、报表口径、注意事项以及决算软件的使用，进行了认真的学习。</w:t>
      </w:r>
    </w:p>
    <w:p>
      <w:pPr>
        <w:jc w:val="left"/>
        <w:rPr>
          <w:rFonts w:ascii="仿宋" w:hAnsi="仿宋" w:eastAsia="仿宋"/>
          <w:kern w:val="0"/>
          <w:sz w:val="18"/>
          <w:szCs w:val="24"/>
          <w:lang w:val="zh-CN"/>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NTE0Mzc1YWY2YjM5YjJkMGQ5ZmNlMzgwNWFhZDIifQ=="/>
  </w:docVars>
  <w:rsids>
    <w:rsidRoot w:val="006F4BCB"/>
    <w:rsid w:val="000A27C4"/>
    <w:rsid w:val="00126520"/>
    <w:rsid w:val="00171CDB"/>
    <w:rsid w:val="001B5D28"/>
    <w:rsid w:val="001F6132"/>
    <w:rsid w:val="00293968"/>
    <w:rsid w:val="002D7C0A"/>
    <w:rsid w:val="006F4BCB"/>
    <w:rsid w:val="00A331C5"/>
    <w:rsid w:val="00A7532D"/>
    <w:rsid w:val="00AA2863"/>
    <w:rsid w:val="00AF0164"/>
    <w:rsid w:val="00B13F5C"/>
    <w:rsid w:val="00D127B1"/>
    <w:rsid w:val="1E7A51B1"/>
    <w:rsid w:val="23CF2E54"/>
    <w:rsid w:val="36560AA1"/>
    <w:rsid w:val="5B3A7CAB"/>
    <w:rsid w:val="66F70509"/>
    <w:rsid w:val="6C005D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Wingdings" w:hAnsi="Wingdings"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val="0"/>
      <w:spacing w:before="100" w:beforeAutospacing="1" w:after="100" w:afterAutospacing="1"/>
      <w:jc w:val="left"/>
    </w:pPr>
    <w:rPr>
      <w:rFonts w:ascii="Calibri" w:hAnsi="Calibri"/>
      <w:kern w:val="0"/>
      <w:sz w:val="24"/>
    </w:rPr>
  </w:style>
  <w:style w:type="character" w:customStyle="1" w:styleId="5">
    <w:name w:val="NormalCharacter New New"/>
    <w:unhideWhenUsed/>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7204</Words>
  <Characters>7562</Characters>
  <Lines>54</Lines>
  <Paragraphs>15</Paragraphs>
  <TotalTime>10</TotalTime>
  <ScaleCrop>false</ScaleCrop>
  <LinksUpToDate>false</LinksUpToDate>
  <CharactersWithSpaces>7564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2021-05-18T02:07:00Z</dcterms:created>
  <dc:creator>Administrator</dc:creator>
  <cp:lastModifiedBy>孙泽宇</cp:lastModifiedBy>
  <cp:lastPrinted>2023-01-31T00:56:00Z</cp:lastPrinted>
  <dcterms:modified xsi:type="dcterms:W3CDTF">2023-11-09T03:21:48Z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32FEB6B224ED4C9299D7CAB3BE96790E_13</vt:lpwstr>
  </property>
</Properties>
</file>