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874" w:rightChars="-416" w:firstLine="0" w:firstLineChars="0"/>
        <w:jc w:val="center"/>
        <w:rPr>
          <w:rFonts w:hint="eastAsia" w:ascii="方正大标宋简体" w:hAnsi="Times New Roman" w:eastAsia="方正大标宋简体" w:cs="Times New Roman"/>
          <w:sz w:val="44"/>
          <w:szCs w:val="44"/>
        </w:rPr>
      </w:pPr>
      <w:bookmarkStart w:id="0" w:name="_GoBack"/>
      <w:bookmarkEnd w:id="0"/>
      <w:r>
        <w:rPr>
          <w:rFonts w:hint="eastAsia" w:ascii="方正大标宋简体" w:hAnsi="Times New Roman" w:eastAsia="方正大标宋简体" w:cs="Times New Roman"/>
          <w:sz w:val="44"/>
          <w:szCs w:val="44"/>
          <w:lang w:val="en-US" w:eastAsia="zh-CN"/>
        </w:rPr>
        <w:t>2022年度整体支出</w:t>
      </w:r>
      <w:r>
        <w:rPr>
          <w:rFonts w:hint="eastAsia" w:ascii="方正大标宋简体" w:hAnsi="Times New Roman" w:eastAsia="方正大标宋简体" w:cs="Times New Roman"/>
          <w:sz w:val="44"/>
          <w:szCs w:val="44"/>
        </w:rPr>
        <w:t>绩效</w:t>
      </w:r>
      <w:r>
        <w:rPr>
          <w:rFonts w:hint="eastAsia" w:ascii="方正大标宋简体" w:hAnsi="Times New Roman" w:eastAsia="方正大标宋简体" w:cs="Times New Roman"/>
          <w:sz w:val="44"/>
          <w:szCs w:val="44"/>
          <w:lang w:eastAsia="zh-CN"/>
        </w:rPr>
        <w:t>自评</w:t>
      </w:r>
      <w:r>
        <w:rPr>
          <w:rFonts w:hint="eastAsia" w:ascii="方正大标宋简体" w:hAnsi="Times New Roman" w:eastAsia="方正大标宋简体" w:cs="Times New Roman"/>
          <w:sz w:val="44"/>
          <w:szCs w:val="44"/>
        </w:rPr>
        <w:t>报告</w:t>
      </w:r>
    </w:p>
    <w:p>
      <w:pPr>
        <w:widowControl/>
        <w:spacing w:line="211" w:lineRule="atLeast"/>
        <w:jc w:val="center"/>
        <w:rPr>
          <w:rFonts w:ascii="华文中宋" w:hAnsi="华文中宋" w:eastAsia="华文中宋" w:cs="宋体"/>
          <w:color w:val="000000"/>
          <w:kern w:val="0"/>
          <w:sz w:val="36"/>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沅江市农村经济经营服务站</w:t>
      </w:r>
      <w:r>
        <w:rPr>
          <w:rFonts w:hint="eastAsia" w:ascii="仿宋_GB2312" w:hAnsi="Times New Roman" w:eastAsia="仿宋_GB2312" w:cs="Times New Roman"/>
          <w:sz w:val="32"/>
          <w:szCs w:val="32"/>
        </w:rPr>
        <w:t>）</w:t>
      </w:r>
    </w:p>
    <w:p>
      <w:pPr>
        <w:spacing w:line="500" w:lineRule="exact"/>
        <w:rPr>
          <w:rFonts w:ascii="仿宋_GB2312"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104775</wp:posOffset>
                </wp:positionV>
                <wp:extent cx="5616575" cy="0"/>
                <wp:effectExtent l="0" t="13970" r="6985" b="16510"/>
                <wp:wrapNone/>
                <wp:docPr id="1" name="直接连接符 1"/>
                <wp:cNvGraphicFramePr/>
                <a:graphic xmlns:a="http://schemas.openxmlformats.org/drawingml/2006/main">
                  <a:graphicData uri="http://schemas.microsoft.com/office/word/2010/wordprocessingShape">
                    <wps:wsp>
                      <wps:cNvCnPr/>
                      <wps:spPr>
                        <a:xfrm>
                          <a:off x="0" y="0"/>
                          <a:ext cx="561657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pt;margin-top:8.25pt;height:0pt;width:442.25pt;z-index:251659264;mso-width-relative:page;mso-height-relative:page;" filled="f" stroked="t" coordsize="21600,21600" o:gfxdata="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owk/TWAAAACAEAAA8AAAAAAAAAAQAgAAAAIgAAAGRycy9kb3ducmV2LnhtbFBLAQIUABQA&#10;AAAIAIdO4kB/1OeS8gEAAOcDAAAOAAAAAAAAAAEAIAAAACUBAABkcnMvZTJvRG9jLnhtbFBLBQYA&#10;AAAABgAGAFkBAACJBQAAAAA=&#10;">
                <v:fill on="f" focussize="0,0"/>
                <v:stroke weight="2.2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eastAsia="黑体"/>
          <w:sz w:val="32"/>
          <w:szCs w:val="32"/>
        </w:rPr>
      </w:pPr>
      <w:r>
        <w:rPr>
          <w:rFonts w:hint="eastAsia" w:ascii="黑体" w:eastAsia="黑体"/>
          <w:sz w:val="32"/>
          <w:szCs w:val="32"/>
        </w:rPr>
        <w:t>一、部门基本情况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（一）机构设置情况。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hAnsi="仿宋" w:eastAsia="仿宋_GB2312" w:cs="Times New Roman"/>
          <w:sz w:val="32"/>
          <w:szCs w:val="32"/>
          <w:lang w:eastAsia="zh-CN"/>
        </w:rPr>
        <w:t>根据编委核定，我站内设综合办公室（加挂农民合作社和家庭农场建设指导股牌子）、农村集体资产财务监督管理股、农民权益维护和农民负担监督股、农村土地承包监督管理股(加挂市农村土地流转服务中心和农村土地承包经营纠纷仲裁中心两块牌子)</w:t>
      </w:r>
      <w:r>
        <w:rPr>
          <w:rFonts w:hint="eastAsia" w:ascii="仿宋_GB2312" w:hAnsi="仿宋" w:eastAsia="仿宋_GB2312" w:cs="Times New Roman"/>
          <w:sz w:val="32"/>
          <w:szCs w:val="32"/>
          <w:lang w:val="en-US" w:eastAsia="zh-CN"/>
        </w:rPr>
        <w:t>。</w:t>
      </w:r>
    </w:p>
    <w:p>
      <w:pPr>
        <w:keepNext w:val="0"/>
        <w:keepLines w:val="0"/>
        <w:pageBreakBefore w:val="0"/>
        <w:numPr>
          <w:ilvl w:val="0"/>
          <w:numId w:val="1"/>
        </w:numPr>
        <w:kinsoku/>
        <w:wordWrap/>
        <w:overflowPunct/>
        <w:topLinePunct w:val="0"/>
        <w:autoSpaceDE/>
        <w:autoSpaceDN/>
        <w:bidi w:val="0"/>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人员情况。</w:t>
      </w:r>
    </w:p>
    <w:p>
      <w:pPr>
        <w:keepNext w:val="0"/>
        <w:keepLines w:val="0"/>
        <w:pageBreakBefore w:val="0"/>
        <w:numPr>
          <w:ilvl w:val="0"/>
          <w:numId w:val="1"/>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hAnsi="仿宋" w:eastAsia="仿宋_GB2312" w:cs="Times New Roman"/>
          <w:sz w:val="32"/>
          <w:szCs w:val="32"/>
          <w:lang w:eastAsia="zh-CN"/>
        </w:rPr>
        <w:t>本单位现有在职人员</w:t>
      </w:r>
      <w:r>
        <w:rPr>
          <w:rFonts w:hint="eastAsia" w:ascii="仿宋_GB2312" w:hAnsi="仿宋" w:eastAsia="仿宋_GB2312" w:cs="Times New Roman"/>
          <w:sz w:val="32"/>
          <w:szCs w:val="32"/>
          <w:lang w:val="en-US" w:eastAsia="zh-CN"/>
        </w:rPr>
        <w:t>15人，其中参照公务员法管理人员11人，事业机关编制管理人员1人，机关工勤人员2人，临聘人员1人。</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（三）主要工作职责。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指导发展农村集体经济；</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指导村级财务管理、财务公开、会计核算和收益分配；</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指导农村集体经济组织清产核资、产权界定、资产评估、产权登记、产权制度改革和资产运营监测；</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指导农村集体经济组织建设、资产财务管理和审计；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承担农民权益维护、监督减轻农村负担和村民“一事一议”筹资筹劳管理工作，检查监督惠农政策的落实；</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lang w:eastAsia="zh-CN"/>
        </w:rPr>
        <w:t>指导开展农村土地承包经营权确权登记颁证、承包合同鉴证、档案管理和信息化建设，提供农村土地流转服务和承包纠纷仲裁管理；</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lang w:eastAsia="zh-CN"/>
        </w:rPr>
        <w:t>负责农村经济经营管理情况的统计分析；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lang w:eastAsia="zh-CN"/>
        </w:rPr>
        <w:t>指导农民专业合作社、家庭农场建设和发展，提供信息和培训服务。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eastAsia="zh-CN"/>
        </w:rPr>
        <w:t>指导开展农村宅基地行业管理，负责村民建房统筹协调、指导、统计、备案、监督。</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eastAsia="黑体"/>
          <w:sz w:val="32"/>
          <w:szCs w:val="32"/>
        </w:rPr>
      </w:pPr>
      <w:r>
        <w:rPr>
          <w:rFonts w:hint="eastAsia" w:ascii="黑体" w:eastAsia="黑体"/>
          <w:sz w:val="32"/>
          <w:szCs w:val="32"/>
        </w:rPr>
        <w:t>二、部门整体支出管理及使用情况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（一）基本支出的管理和使用情况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eastAsia="仿宋_GB2312"/>
          <w:sz w:val="32"/>
          <w:szCs w:val="32"/>
        </w:rPr>
        <w:t>1、基本支出的主要用途范围及资金的管理情况</w:t>
      </w:r>
      <w:r>
        <w:rPr>
          <w:rFonts w:hint="eastAsia" w:ascii="仿宋_GB2312" w:eastAsia="仿宋_GB2312"/>
          <w:sz w:val="32"/>
          <w:szCs w:val="32"/>
          <w:lang w:eastAsia="zh-CN"/>
        </w:rPr>
        <w:t>。</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年单位基本支出</w:t>
      </w:r>
      <w:r>
        <w:rPr>
          <w:rFonts w:hint="eastAsia" w:ascii="仿宋_GB2312" w:hAnsi="仿宋" w:eastAsia="仿宋_GB2312" w:cs="Times New Roman"/>
          <w:sz w:val="32"/>
          <w:szCs w:val="32"/>
          <w:lang w:val="en-US" w:eastAsia="zh-CN"/>
        </w:rPr>
        <w:t>114.98</w:t>
      </w:r>
      <w:r>
        <w:rPr>
          <w:rFonts w:hint="eastAsia" w:ascii="仿宋_GB2312" w:hAnsi="仿宋" w:eastAsia="仿宋_GB2312" w:cs="Times New Roman"/>
          <w:sz w:val="32"/>
          <w:szCs w:val="32"/>
          <w:lang w:eastAsia="zh-CN"/>
        </w:rPr>
        <w:t>万元，分别为：人员经费支出</w:t>
      </w:r>
      <w:r>
        <w:rPr>
          <w:rFonts w:hint="eastAsia" w:ascii="仿宋_GB2312" w:hAnsi="仿宋" w:eastAsia="仿宋_GB2312" w:cs="Times New Roman"/>
          <w:sz w:val="32"/>
          <w:szCs w:val="32"/>
          <w:lang w:val="en-US" w:eastAsia="zh-CN"/>
        </w:rPr>
        <w:t>103.98</w:t>
      </w:r>
      <w:r>
        <w:rPr>
          <w:rFonts w:hint="eastAsia" w:ascii="仿宋_GB2312" w:hAnsi="仿宋" w:eastAsia="仿宋_GB2312" w:cs="Times New Roman"/>
          <w:sz w:val="32"/>
          <w:szCs w:val="32"/>
          <w:lang w:eastAsia="zh-CN"/>
        </w:rPr>
        <w:t>万元，公用经费支出</w:t>
      </w:r>
      <w:r>
        <w:rPr>
          <w:rFonts w:hint="eastAsia" w:ascii="仿宋_GB2312" w:hAnsi="仿宋" w:eastAsia="仿宋_GB2312" w:cs="Times New Roman"/>
          <w:sz w:val="32"/>
          <w:szCs w:val="32"/>
          <w:lang w:val="en-US" w:eastAsia="zh-CN"/>
        </w:rPr>
        <w:t>11</w:t>
      </w:r>
      <w:r>
        <w:rPr>
          <w:rFonts w:hint="eastAsia" w:ascii="仿宋_GB2312" w:hAnsi="仿宋" w:eastAsia="仿宋_GB2312" w:cs="Times New Roman"/>
          <w:sz w:val="32"/>
          <w:szCs w:val="32"/>
          <w:lang w:eastAsia="zh-CN"/>
        </w:rPr>
        <w:t>万元，主要是保障单位机构正常运转、完成日常工作任务而发生的各项支出，包括用于基本工资、津贴补贴等人员经费以及办公费、印刷费、水电费、办公设备购置等日常公用经费。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2、</w:t>
      </w:r>
      <w:r>
        <w:rPr>
          <w:rFonts w:hint="eastAsia" w:ascii="仿宋_GB2312" w:eastAsia="仿宋_GB2312"/>
          <w:sz w:val="32"/>
          <w:szCs w:val="32"/>
        </w:rPr>
        <w:t>年初总预算收支情况。</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年单位预算收入</w:t>
      </w:r>
      <w:r>
        <w:rPr>
          <w:rFonts w:hint="eastAsia" w:ascii="仿宋_GB2312" w:hAnsi="仿宋" w:eastAsia="仿宋_GB2312" w:cs="Times New Roman"/>
          <w:sz w:val="32"/>
          <w:szCs w:val="32"/>
          <w:lang w:val="en-US" w:eastAsia="zh-CN"/>
        </w:rPr>
        <w:t>148.98</w:t>
      </w:r>
      <w:r>
        <w:rPr>
          <w:rFonts w:hint="eastAsia" w:ascii="仿宋_GB2312" w:hAnsi="仿宋" w:eastAsia="仿宋_GB2312" w:cs="Times New Roman"/>
          <w:sz w:val="32"/>
          <w:szCs w:val="32"/>
          <w:lang w:eastAsia="zh-CN"/>
        </w:rPr>
        <w:t>万元，其中：一般公共预算拨款</w:t>
      </w:r>
      <w:r>
        <w:rPr>
          <w:rFonts w:hint="eastAsia" w:ascii="仿宋_GB2312" w:hAnsi="仿宋" w:eastAsia="仿宋_GB2312" w:cs="Times New Roman"/>
          <w:sz w:val="32"/>
          <w:szCs w:val="32"/>
          <w:lang w:val="en-US" w:eastAsia="zh-CN"/>
        </w:rPr>
        <w:t>148.98</w:t>
      </w:r>
      <w:r>
        <w:rPr>
          <w:rFonts w:hint="eastAsia" w:ascii="仿宋_GB2312" w:hAnsi="仿宋" w:eastAsia="仿宋_GB2312" w:cs="Times New Roman"/>
          <w:sz w:val="32"/>
          <w:szCs w:val="32"/>
          <w:lang w:eastAsia="zh-CN"/>
        </w:rPr>
        <w:t>万元，纳入公共预算管理的非税拨款</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万元，政府性基金拨款</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万元，纳入专户管理的非税收入</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万元，事业单位经营收入</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万元，其他收入</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仿宋" w:eastAsia="仿宋_GB2312" w:cs="Times New Roman"/>
          <w:sz w:val="32"/>
          <w:szCs w:val="32"/>
          <w:lang w:val="en-US" w:eastAsia="zh-CN"/>
        </w:rPr>
        <w:t>3、</w:t>
      </w:r>
      <w:r>
        <w:rPr>
          <w:rFonts w:hint="eastAsia" w:ascii="仿宋_GB2312" w:hAnsi="Times New Roman" w:eastAsia="仿宋_GB2312" w:cs="Times New Roman"/>
          <w:sz w:val="32"/>
          <w:szCs w:val="32"/>
        </w:rPr>
        <w:t>本年财政拨款预算追加及年度可用财政拨款预算指标</w:t>
      </w:r>
    </w:p>
    <w:p>
      <w:pPr>
        <w:keepNext w:val="0"/>
        <w:keepLines w:val="0"/>
        <w:pageBreakBefore w:val="0"/>
        <w:numPr>
          <w:ilvl w:val="0"/>
          <w:numId w:val="0"/>
        </w:numPr>
        <w:kinsoku/>
        <w:wordWrap/>
        <w:overflowPunct/>
        <w:topLinePunct w:val="0"/>
        <w:autoSpaceDE/>
        <w:autoSpaceDN/>
        <w:bidi w:val="0"/>
        <w:spacing w:line="600" w:lineRule="exact"/>
        <w:textAlignment w:val="auto"/>
        <w:rPr>
          <w:rFonts w:hint="eastAsia" w:ascii="仿宋_GB2312" w:hAnsi="仿宋" w:eastAsia="仿宋_GB2312" w:cs="Times New Roman"/>
          <w:sz w:val="32"/>
          <w:szCs w:val="32"/>
          <w:lang w:eastAsia="zh-CN"/>
        </w:rPr>
      </w:pPr>
      <w:r>
        <w:rPr>
          <w:rFonts w:hint="eastAsia" w:ascii="仿宋_GB2312" w:hAnsi="Times New Roman" w:eastAsia="仿宋_GB2312" w:cs="Times New Roman"/>
          <w:sz w:val="32"/>
          <w:szCs w:val="32"/>
        </w:rPr>
        <w:t>情况。</w:t>
      </w:r>
      <w:r>
        <w:rPr>
          <w:rFonts w:hint="eastAsia" w:ascii="仿宋_GB2312" w:hAnsi="仿宋" w:eastAsia="仿宋_GB2312" w:cs="Times New Roman"/>
          <w:sz w:val="32"/>
          <w:szCs w:val="32"/>
          <w:lang w:eastAsia="zh-CN"/>
        </w:rPr>
        <w:t>本年度无财政拨款预算追加及年度可用财政拨款预算指标。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4、</w:t>
      </w:r>
      <w:r>
        <w:rPr>
          <w:rFonts w:hint="eastAsia" w:ascii="仿宋_GB2312" w:eastAsia="仿宋_GB2312"/>
          <w:sz w:val="32"/>
          <w:szCs w:val="32"/>
        </w:rPr>
        <w:t>年度预算收入决算情况</w:t>
      </w:r>
      <w:r>
        <w:rPr>
          <w:rFonts w:hint="eastAsia" w:ascii="仿宋_GB2312" w:eastAsia="仿宋_GB2312"/>
          <w:sz w:val="32"/>
          <w:szCs w:val="32"/>
          <w:lang w:eastAsia="zh-CN"/>
        </w:rPr>
        <w:t>。</w:t>
      </w:r>
      <w:r>
        <w:rPr>
          <w:rFonts w:hint="eastAsia" w:ascii="仿宋_GB2312" w:hAnsi="仿宋" w:eastAsia="仿宋_GB2312" w:cs="Times New Roman"/>
          <w:sz w:val="32"/>
          <w:szCs w:val="32"/>
          <w:lang w:val="en-US" w:eastAsia="zh-CN"/>
        </w:rPr>
        <w:t>单位本年度预算收入总计148.98元，基本支出总计114.98万元，其中：人员经费总计103.98万元，日常公用经费总计11万元；项目支出总计34万元，其中：农村财务管理和公开工作经费项目支出5万元，农村经营管理情况统计年报工作经费项目支出5万元，维护农民权益与农民负担监督管理工作经费项目支出10万元，土地流转服务中心工作经费项目支出2万元，农民合作社建设指导工作经费项目支出2万元，农村宅基地管理专项工作经费10万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5、</w:t>
      </w:r>
      <w:r>
        <w:rPr>
          <w:rFonts w:hint="eastAsia" w:ascii="仿宋_GB2312" w:eastAsia="仿宋_GB2312"/>
          <w:sz w:val="32"/>
          <w:szCs w:val="32"/>
        </w:rPr>
        <w:t>年度预算支出决算及结余情况。</w:t>
      </w:r>
      <w:r>
        <w:rPr>
          <w:rFonts w:hint="eastAsia" w:ascii="仿宋_GB2312" w:hAnsi="仿宋" w:eastAsia="仿宋_GB2312" w:cs="Times New Roman"/>
          <w:sz w:val="32"/>
          <w:szCs w:val="32"/>
          <w:lang w:eastAsia="zh-CN"/>
        </w:rPr>
        <w:t>单位本年度预算支出</w:t>
      </w:r>
      <w:r>
        <w:rPr>
          <w:rFonts w:hint="eastAsia" w:ascii="仿宋_GB2312" w:hAnsi="仿宋" w:eastAsia="仿宋_GB2312" w:cs="Times New Roman"/>
          <w:sz w:val="32"/>
          <w:szCs w:val="32"/>
          <w:lang w:val="en-US" w:eastAsia="zh-CN"/>
        </w:rPr>
        <w:t>总计148.98万元，基本支出总计114.98万元，其中：人员经费总计103.98万元，日常公用经费总计11万元；项目支出总计34万元，其中：农村财务管理和公开工作经费项目支出5万元，农村经营管理情况统计年报工作经费项目支出5万元，维护农民权益与农民负担监督管理工作经费项目支出10万元，土地流转服务中心工作经费项目支出2万元，农民合作社建设指导工作经费项目支出2万元，农村宅基地管理专项工作经费10万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6、</w:t>
      </w:r>
      <w:r>
        <w:rPr>
          <w:rFonts w:hint="eastAsia" w:ascii="仿宋_GB2312" w:eastAsia="仿宋_GB2312"/>
          <w:sz w:val="32"/>
          <w:szCs w:val="32"/>
        </w:rPr>
        <w:t>本年“三公经费”预算情况。</w:t>
      </w:r>
      <w:r>
        <w:rPr>
          <w:rFonts w:hint="eastAsia" w:ascii="仿宋_GB2312" w:hAnsi="仿宋" w:eastAsia="仿宋_GB2312" w:cs="Times New Roman"/>
          <w:sz w:val="32"/>
          <w:szCs w:val="32"/>
          <w:lang w:eastAsia="zh-CN"/>
        </w:rPr>
        <w:t>本年</w:t>
      </w:r>
      <w:r>
        <w:rPr>
          <w:rFonts w:hint="eastAsia" w:ascii="仿宋_GB2312" w:hAnsi="仿宋" w:eastAsia="仿宋_GB2312" w:cs="Times New Roman"/>
          <w:sz w:val="32"/>
          <w:szCs w:val="32"/>
          <w:lang w:val="en-US" w:eastAsia="zh-CN"/>
        </w:rPr>
        <w:t>因预算编制政策影响，无“三公经费</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预算。</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7、</w:t>
      </w:r>
      <w:r>
        <w:rPr>
          <w:rFonts w:hint="eastAsia" w:ascii="仿宋_GB2312" w:eastAsia="仿宋_GB2312"/>
          <w:sz w:val="32"/>
          <w:szCs w:val="32"/>
        </w:rPr>
        <w:t>“三公经费”预算执行情况。</w:t>
      </w:r>
      <w:r>
        <w:rPr>
          <w:rFonts w:hint="eastAsia" w:ascii="仿宋_GB2312" w:hAnsi="仿宋" w:eastAsia="仿宋_GB2312" w:cs="Times New Roman"/>
          <w:sz w:val="32"/>
          <w:szCs w:val="32"/>
          <w:lang w:eastAsia="zh-CN"/>
        </w:rPr>
        <w:t>本年</w:t>
      </w:r>
      <w:r>
        <w:rPr>
          <w:rFonts w:hint="eastAsia" w:ascii="仿宋_GB2312" w:hAnsi="仿宋" w:eastAsia="仿宋_GB2312" w:cs="Times New Roman"/>
          <w:sz w:val="32"/>
          <w:szCs w:val="32"/>
          <w:lang w:val="en-US" w:eastAsia="zh-CN"/>
        </w:rPr>
        <w:t>因预算编制政策影响，无“三公经费</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预算，无</w:t>
      </w:r>
      <w:r>
        <w:rPr>
          <w:rFonts w:hint="eastAsia" w:ascii="仿宋_GB2312" w:eastAsia="仿宋_GB2312"/>
          <w:sz w:val="32"/>
          <w:szCs w:val="32"/>
        </w:rPr>
        <w:t>“三公经费”预算</w:t>
      </w:r>
      <w:r>
        <w:rPr>
          <w:rFonts w:hint="eastAsia" w:ascii="仿宋_GB2312" w:eastAsia="仿宋_GB2312"/>
          <w:sz w:val="32"/>
          <w:szCs w:val="32"/>
          <w:lang w:val="en-US" w:eastAsia="zh-CN"/>
        </w:rPr>
        <w:t>可</w:t>
      </w:r>
      <w:r>
        <w:rPr>
          <w:rFonts w:hint="eastAsia" w:ascii="仿宋_GB2312" w:eastAsia="仿宋_GB2312"/>
          <w:sz w:val="32"/>
          <w:szCs w:val="32"/>
        </w:rPr>
        <w:t>执行</w:t>
      </w:r>
      <w:r>
        <w:rPr>
          <w:rFonts w:hint="eastAsia" w:ascii="仿宋_GB2312" w:hAnsi="仿宋" w:eastAsia="仿宋_GB2312" w:cs="Times New Roman"/>
          <w:sz w:val="32"/>
          <w:szCs w:val="32"/>
          <w:lang w:val="en-US"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8、</w:t>
      </w:r>
      <w:r>
        <w:rPr>
          <w:rFonts w:hint="eastAsia" w:ascii="仿宋_GB2312" w:eastAsia="仿宋_GB2312"/>
          <w:sz w:val="32"/>
          <w:szCs w:val="32"/>
        </w:rPr>
        <w:t>与上年比较“三公经费”控制情况。</w:t>
      </w:r>
      <w:r>
        <w:rPr>
          <w:rFonts w:hint="eastAsia" w:ascii="仿宋_GB2312" w:hAnsi="仿宋" w:eastAsia="仿宋_GB2312" w:cs="Times New Roman"/>
          <w:sz w:val="32"/>
          <w:szCs w:val="32"/>
          <w:lang w:eastAsia="zh-CN"/>
        </w:rPr>
        <w:t>与上年比较“三公经费”</w:t>
      </w:r>
      <w:r>
        <w:rPr>
          <w:rFonts w:hint="eastAsia" w:ascii="仿宋_GB2312" w:hAnsi="仿宋" w:eastAsia="仿宋_GB2312" w:cs="Times New Roman"/>
          <w:sz w:val="32"/>
          <w:szCs w:val="32"/>
          <w:lang w:val="en-US" w:eastAsia="zh-CN"/>
        </w:rPr>
        <w:t>减少0.9万元，减少100%，主要原因：</w:t>
      </w:r>
      <w:r>
        <w:rPr>
          <w:rFonts w:hint="eastAsia" w:ascii="仿宋_GB2312" w:hAnsi="仿宋" w:eastAsia="仿宋_GB2312" w:cs="Times New Roman"/>
          <w:sz w:val="32"/>
          <w:szCs w:val="32"/>
          <w:lang w:eastAsia="zh-CN"/>
        </w:rPr>
        <w:t>本年</w:t>
      </w:r>
      <w:r>
        <w:rPr>
          <w:rFonts w:hint="eastAsia" w:ascii="仿宋_GB2312" w:hAnsi="仿宋" w:eastAsia="仿宋_GB2312" w:cs="Times New Roman"/>
          <w:sz w:val="32"/>
          <w:szCs w:val="32"/>
          <w:lang w:val="en-US" w:eastAsia="zh-CN"/>
        </w:rPr>
        <w:t>因预算编制政策影响，无“三公经费</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预算，无</w:t>
      </w:r>
      <w:r>
        <w:rPr>
          <w:rFonts w:hint="eastAsia" w:ascii="仿宋_GB2312" w:eastAsia="仿宋_GB2312"/>
          <w:sz w:val="32"/>
          <w:szCs w:val="32"/>
        </w:rPr>
        <w:t>“三公经费”预算</w:t>
      </w:r>
      <w:r>
        <w:rPr>
          <w:rFonts w:hint="eastAsia" w:ascii="仿宋_GB2312" w:eastAsia="仿宋_GB2312"/>
          <w:sz w:val="32"/>
          <w:szCs w:val="32"/>
          <w:lang w:val="en-US" w:eastAsia="zh-CN"/>
        </w:rPr>
        <w:t>可</w:t>
      </w:r>
      <w:r>
        <w:rPr>
          <w:rFonts w:hint="eastAsia" w:ascii="仿宋_GB2312" w:eastAsia="仿宋_GB2312"/>
          <w:sz w:val="32"/>
          <w:szCs w:val="32"/>
        </w:rPr>
        <w:t>执行</w:t>
      </w:r>
      <w:r>
        <w:rPr>
          <w:rFonts w:hint="eastAsia" w:ascii="仿宋_GB2312" w:hAnsi="仿宋" w:eastAsia="仿宋_GB2312" w:cs="Times New Roman"/>
          <w:sz w:val="32"/>
          <w:szCs w:val="32"/>
          <w:lang w:val="en-US"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（二）专项支出的管理和使用情况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1、专项资金安排落实，总投入等情况分析。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本年度单位专项资金（包括财政资金、自筹资金等）已全部安排落实到位，总投入</w:t>
      </w:r>
      <w:r>
        <w:rPr>
          <w:rFonts w:hint="eastAsia" w:ascii="仿宋_GB2312" w:hAnsi="仿宋" w:eastAsia="仿宋_GB2312" w:cs="Times New Roman"/>
          <w:sz w:val="32"/>
          <w:szCs w:val="32"/>
          <w:lang w:val="en-US" w:eastAsia="zh-CN"/>
        </w:rPr>
        <w:t>34万元，</w:t>
      </w:r>
      <w:r>
        <w:rPr>
          <w:rFonts w:hint="eastAsia" w:ascii="仿宋_GB2312" w:hAnsi="仿宋" w:eastAsia="仿宋_GB2312" w:cs="Times New Roman"/>
          <w:sz w:val="32"/>
          <w:szCs w:val="32"/>
          <w:lang w:eastAsia="zh-CN"/>
        </w:rPr>
        <w:t>用于单位各专项工作经费。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hAnsi="仿宋" w:eastAsia="仿宋_GB2312" w:cs="Times New Roman"/>
          <w:sz w:val="32"/>
          <w:szCs w:val="32"/>
          <w:lang w:eastAsia="zh-CN"/>
        </w:rPr>
        <w:t>2、</w:t>
      </w:r>
      <w:r>
        <w:rPr>
          <w:rFonts w:hint="eastAsia" w:ascii="仿宋_GB2312" w:eastAsia="仿宋_GB2312"/>
          <w:sz w:val="32"/>
          <w:szCs w:val="32"/>
        </w:rPr>
        <w:t>专项资金实际使用情况分析</w:t>
      </w:r>
      <w:r>
        <w:rPr>
          <w:rFonts w:hint="eastAsia" w:ascii="仿宋_GB2312" w:eastAsia="仿宋_GB2312"/>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sz w:val="32"/>
          <w:szCs w:val="32"/>
          <w:lang w:eastAsia="zh-CN"/>
        </w:rPr>
        <w:t>本年度单位专项资金</w:t>
      </w:r>
      <w:r>
        <w:rPr>
          <w:rFonts w:hint="eastAsia" w:ascii="仿宋_GB2312" w:hAnsi="仿宋" w:eastAsia="仿宋_GB2312" w:cs="Times New Roman"/>
          <w:sz w:val="32"/>
          <w:szCs w:val="32"/>
          <w:lang w:val="en-US" w:eastAsia="zh-CN"/>
        </w:rPr>
        <w:t>34</w:t>
      </w:r>
      <w:r>
        <w:rPr>
          <w:rFonts w:hint="eastAsia" w:ascii="仿宋_GB2312" w:hAnsi="仿宋" w:eastAsia="仿宋_GB2312" w:cs="Times New Roman"/>
          <w:sz w:val="32"/>
          <w:szCs w:val="32"/>
          <w:lang w:eastAsia="zh-CN"/>
        </w:rPr>
        <w:t>万元，</w:t>
      </w:r>
      <w:r>
        <w:rPr>
          <w:rFonts w:hint="eastAsia" w:ascii="仿宋_GB2312" w:hAnsi="仿宋" w:eastAsia="仿宋_GB2312" w:cs="Times New Roman"/>
          <w:sz w:val="32"/>
          <w:szCs w:val="32"/>
          <w:lang w:val="en-US" w:eastAsia="zh-CN"/>
        </w:rPr>
        <w:t>主要是部门为完成行政工作任务或事业发展目标而发生的支出，包括有关业务工作经费、其他事业类发展资金、其他项目支出。其中：农村财务管理和公开工作经费项目支出5万元，主要用于农村村级财务监督等方面；农村经营管理情况统计年报工作经费项目支出5万元，主要用于农村经营管理情况统计年报等方面；维护农民权益与农民负担监督管理工作经费项目支出10万元，主要用于社会化服务和惠农政策等方面；土地流转服务中心工作经费项目支出2万元，主要用于土地仲裁和土地承包经营管理等方面；农民合作社建设指导工作经费项目支出2万元，主要用于农民合作社和家庭农场建设等方面；农村宅基地管理专项工作经费10万元，主要用于农村宅基地管理与农房利用日常工作费用。</w:t>
      </w:r>
      <w:r>
        <w:rPr>
          <w:rFonts w:hint="eastAsia" w:ascii="仿宋_GB2312" w:hAnsi="仿宋" w:eastAsia="仿宋_GB2312" w:cs="Times New Roman"/>
          <w:bCs w:val="0"/>
          <w:kern w:val="2"/>
          <w:sz w:val="32"/>
          <w:szCs w:val="32"/>
          <w:lang w:val="en-US" w:eastAsia="zh-CN" w:bidi="ar-SA"/>
        </w:rPr>
        <w:t>专项资金34万元已于2022年12月31日前全部拨付到位。</w:t>
      </w:r>
    </w:p>
    <w:p>
      <w:pPr>
        <w:keepNext w:val="0"/>
        <w:keepLines w:val="0"/>
        <w:pageBreakBefore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专项资金管理情况分析。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sz w:val="32"/>
          <w:szCs w:val="32"/>
          <w:lang w:eastAsia="zh-CN"/>
        </w:rPr>
        <w:t>本单位在专项资金绩效管理上，严格按照省财政厅相关要求，内部实现了专项资金统一归口管理，坚持专款专用，量入为出的原则，使各项专用资金按规定的用途使用并达到预期目的，严禁截留、挪用和不合理支出。</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（三）专项资金绩效目标下达情况。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sz w:val="32"/>
          <w:szCs w:val="32"/>
          <w:lang w:eastAsia="zh-CN"/>
        </w:rPr>
        <w:t>维护农民权益与农民负担监督管理工作经费专项资金总投入</w:t>
      </w:r>
      <w:r>
        <w:rPr>
          <w:rFonts w:hint="eastAsia" w:ascii="仿宋_GB2312" w:hAnsi="仿宋" w:eastAsia="仿宋_GB2312" w:cs="Times New Roman"/>
          <w:sz w:val="32"/>
          <w:szCs w:val="32"/>
          <w:lang w:val="en-US" w:eastAsia="zh-CN"/>
        </w:rPr>
        <w:t>10万元，</w:t>
      </w:r>
      <w:r>
        <w:rPr>
          <w:rFonts w:hint="eastAsia" w:ascii="仿宋_GB2312" w:hAnsi="仿宋" w:eastAsia="仿宋_GB2312" w:cs="Times New Roman"/>
          <w:sz w:val="32"/>
          <w:szCs w:val="32"/>
          <w:lang w:eastAsia="zh-CN"/>
        </w:rPr>
        <w:t>用于社会化服务和惠农政策专项工作经费，</w:t>
      </w:r>
      <w:r>
        <w:rPr>
          <w:rFonts w:hint="eastAsia" w:ascii="仿宋_GB2312" w:hAnsi="仿宋" w:eastAsia="仿宋_GB2312" w:cs="Times New Roman"/>
          <w:bCs w:val="0"/>
          <w:kern w:val="2"/>
          <w:sz w:val="32"/>
          <w:szCs w:val="32"/>
          <w:lang w:val="en-US" w:eastAsia="zh-CN" w:bidi="ar-SA"/>
        </w:rPr>
        <w:t>维护农民合法权益，确保农民负担不反弹。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sz w:val="32"/>
          <w:szCs w:val="32"/>
          <w:lang w:val="en-US" w:eastAsia="zh-CN"/>
        </w:rPr>
        <w:t>农村宅基地管理专项</w:t>
      </w:r>
      <w:r>
        <w:rPr>
          <w:rFonts w:hint="eastAsia" w:ascii="仿宋_GB2312" w:hAnsi="仿宋" w:eastAsia="仿宋_GB2312" w:cs="Times New Roman"/>
          <w:sz w:val="32"/>
          <w:szCs w:val="32"/>
          <w:lang w:eastAsia="zh-CN"/>
        </w:rPr>
        <w:t>资金总投入</w:t>
      </w:r>
      <w:r>
        <w:rPr>
          <w:rFonts w:hint="eastAsia" w:ascii="仿宋_GB2312" w:hAnsi="仿宋" w:eastAsia="仿宋_GB2312" w:cs="Times New Roman"/>
          <w:sz w:val="32"/>
          <w:szCs w:val="32"/>
          <w:lang w:val="en-US" w:eastAsia="zh-CN"/>
        </w:rPr>
        <w:t>10万元，主要用于农村宅基地管理与农房利用日常工作费用，</w:t>
      </w:r>
      <w:r>
        <w:rPr>
          <w:rFonts w:hint="eastAsia" w:ascii="仿宋" w:hAnsi="仿宋" w:eastAsia="仿宋" w:cs="仿宋"/>
          <w:color w:val="000000"/>
          <w:sz w:val="32"/>
          <w:szCs w:val="32"/>
        </w:rPr>
        <w:t>统筹协调相关部门宅基地用地审查、乡村建设规划许可、农房建设监管等职责</w:t>
      </w:r>
      <w:r>
        <w:rPr>
          <w:rFonts w:hint="eastAsia" w:ascii="仿宋_GB2312" w:hAnsi="仿宋" w:eastAsia="仿宋_GB2312" w:cs="Times New Roman"/>
          <w:bCs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（四）项目组织管理情况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1.加强组织领导。</w:t>
      </w:r>
      <w:r>
        <w:rPr>
          <w:rFonts w:hint="eastAsia" w:ascii="仿宋_GB2312" w:hAnsi="仿宋" w:eastAsia="仿宋_GB2312" w:cs="Times New Roman"/>
          <w:bCs w:val="0"/>
          <w:kern w:val="2"/>
          <w:sz w:val="32"/>
          <w:szCs w:val="32"/>
          <w:lang w:val="en-US" w:eastAsia="zh-CN" w:bidi="ar-SA"/>
        </w:rPr>
        <w:t>成立了市农业生产社会化服务试点项目领导小组，经管负责人任办公室主任，具体负责业务指导和检查考评工作。各乡镇成立相应的组织机构，加强对农业生产社会化服务工作的领导；</w:t>
      </w:r>
      <w:r>
        <w:rPr>
          <w:rFonts w:hint="eastAsia" w:ascii="仿宋_GB2312" w:hAnsi="仿宋_GB2312" w:eastAsia="仿宋_GB2312" w:cs="仿宋_GB2312"/>
          <w:color w:val="auto"/>
          <w:sz w:val="32"/>
          <w:szCs w:val="32"/>
          <w:lang w:eastAsia="zh-CN"/>
        </w:rPr>
        <w:t>在农村村民建房的监督、审批方面加强了部门横向联系，形成自然资源部门、农业农村部门、和住房建设部门三部门联审联批、信息交汇互通的新局面。</w:t>
      </w:r>
    </w:p>
    <w:p>
      <w:pPr>
        <w:pStyle w:val="2"/>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 w:eastAsia="仿宋_GB2312" w:cs="Times New Roman"/>
          <w:b/>
          <w:bCs/>
          <w:kern w:val="2"/>
          <w:sz w:val="32"/>
          <w:szCs w:val="32"/>
          <w:lang w:val="en-US" w:eastAsia="zh-CN" w:bidi="ar-SA"/>
        </w:rPr>
        <w:t>2.优化实施方案。</w:t>
      </w:r>
      <w:r>
        <w:rPr>
          <w:rFonts w:hint="eastAsia" w:ascii="仿宋_GB2312" w:hAnsi="仿宋" w:eastAsia="仿宋_GB2312" w:cs="Times New Roman"/>
          <w:bCs w:val="0"/>
          <w:kern w:val="2"/>
          <w:sz w:val="32"/>
          <w:szCs w:val="32"/>
          <w:lang w:val="en-US" w:eastAsia="zh-CN" w:bidi="ar-SA"/>
        </w:rPr>
        <w:t>组织相关部门深入调查研究，召开座谈会，并借鉴外地经验，在广泛征求过多方意见的基础上，结合我市实际制完工作方案，报请市政府常务会议多次讨论通过，下发了《沅江市2021年农业生产社会化服务项目试点工作实施方案》，明确了责任目标，指导全市农业生产社会化服务项目试点工作；</w:t>
      </w:r>
      <w:r>
        <w:rPr>
          <w:rFonts w:hint="eastAsia" w:ascii="仿宋_GB2312" w:hAnsi="仿宋_GB2312" w:eastAsia="仿宋_GB2312" w:cs="仿宋_GB2312"/>
          <w:color w:val="auto"/>
          <w:sz w:val="32"/>
          <w:szCs w:val="32"/>
        </w:rPr>
        <w:t>制定了《沅江市2022年农村宅基地管理真抓实干督查激励考评细则》将监管责任进一步压实。各镇（街道、中心）制定了镇、村两级农村宅基地巡房制度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起草《沅江市农村村民建房管理细则》（讨论稿）并征求各相关部门的意见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严格按照“六到场”的工作要求，进一步明确职责，推动责任落实。</w:t>
      </w:r>
    </w:p>
    <w:p>
      <w:pPr>
        <w:pStyle w:val="2"/>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eastAsia"/>
          <w:lang w:val="en-US" w:eastAsia="zh-CN"/>
        </w:rPr>
      </w:pPr>
      <w:r>
        <w:rPr>
          <w:rFonts w:hint="eastAsia" w:ascii="仿宋_GB2312" w:hAnsi="仿宋" w:eastAsia="仿宋_GB2312" w:cs="Times New Roman"/>
          <w:b/>
          <w:bCs/>
          <w:kern w:val="2"/>
          <w:sz w:val="32"/>
          <w:szCs w:val="32"/>
          <w:lang w:val="en-US" w:eastAsia="zh-CN" w:bidi="ar-SA"/>
        </w:rPr>
        <w:t>3.细化项目管理。</w:t>
      </w:r>
      <w:r>
        <w:rPr>
          <w:rFonts w:hint="eastAsia" w:ascii="仿宋_GB2312" w:hAnsi="仿宋" w:eastAsia="仿宋_GB2312" w:cs="Times New Roman"/>
          <w:bCs w:val="0"/>
          <w:kern w:val="2"/>
          <w:sz w:val="32"/>
          <w:szCs w:val="32"/>
          <w:lang w:val="en-US" w:eastAsia="zh-CN" w:bidi="ar-SA"/>
        </w:rPr>
        <w:t>完善了项目服务的各项制度和服务规程，建立健全激励和约束机制，不断提高项目资金的管理水平，促进农业生产社会化服务试点项目顺利实施，制定《 沅江市农业生产社会化服务试点项目资金管理办法》，确保农业生产社会化服务试点项目资金专款专用，严防任何单位和个人挤占、挪用、虚报冒领。同时，为规范和加强农业生产社会化服务试点项目管理，合理配置资源，提高项目资金使用效益，制定《沅江市农业生产社会化服务试点项目绩效评价办法》，做到绩效与利益并存；</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农村宅基地管理工作领导小组办公室</w:t>
      </w:r>
      <w:r>
        <w:rPr>
          <w:rFonts w:hint="eastAsia" w:ascii="仿宋_GB2312" w:hAnsi="仿宋_GB2312" w:eastAsia="仿宋_GB2312" w:cs="仿宋_GB2312"/>
          <w:color w:val="auto"/>
          <w:sz w:val="32"/>
          <w:szCs w:val="32"/>
          <w:lang w:val="en-US" w:eastAsia="zh-CN"/>
        </w:rPr>
        <w:t>成立了</w:t>
      </w:r>
      <w:r>
        <w:rPr>
          <w:rFonts w:hint="eastAsia" w:ascii="仿宋_GB2312" w:hAnsi="仿宋_GB2312" w:eastAsia="仿宋_GB2312" w:cs="仿宋_GB2312"/>
          <w:color w:val="auto"/>
          <w:sz w:val="32"/>
          <w:szCs w:val="32"/>
        </w:rPr>
        <w:t>组织检查组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对全市</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sz w:val="32"/>
          <w:szCs w:val="32"/>
        </w:rPr>
        <w:t>镇（街道、中心）农村宅基地管理</w:t>
      </w:r>
      <w:r>
        <w:rPr>
          <w:rFonts w:hint="eastAsia" w:ascii="仿宋_GB2312" w:hAnsi="仿宋_GB2312" w:eastAsia="仿宋_GB2312" w:cs="仿宋_GB2312"/>
          <w:color w:val="auto"/>
          <w:kern w:val="0"/>
          <w:sz w:val="32"/>
          <w:szCs w:val="32"/>
        </w:rPr>
        <w:t>政策落实、责任体系建设、审批机制，安全生产等</w:t>
      </w:r>
      <w:r>
        <w:rPr>
          <w:rFonts w:hint="eastAsia" w:ascii="仿宋_GB2312" w:hAnsi="仿宋_GB2312" w:eastAsia="仿宋_GB2312" w:cs="仿宋_GB2312"/>
          <w:color w:val="auto"/>
          <w:sz w:val="32"/>
          <w:szCs w:val="32"/>
        </w:rPr>
        <w:t>工作开展检查。</w:t>
      </w:r>
      <w:r>
        <w:rPr>
          <w:rFonts w:hint="eastAsia" w:ascii="仿宋_GB2312" w:hAnsi="仿宋_GB2312" w:eastAsia="仿宋_GB2312" w:cs="仿宋_GB2312"/>
          <w:color w:val="auto"/>
          <w:kern w:val="0"/>
          <w:sz w:val="32"/>
          <w:szCs w:val="32"/>
        </w:rPr>
        <w:t>同时，领导小组定期调度工作进展情况，并通报各镇</w:t>
      </w:r>
      <w:r>
        <w:rPr>
          <w:rFonts w:hint="eastAsia" w:ascii="仿宋_GB2312" w:hAnsi="仿宋_GB2312" w:eastAsia="仿宋_GB2312" w:cs="仿宋_GB2312"/>
          <w:color w:val="auto"/>
          <w:sz w:val="32"/>
          <w:szCs w:val="32"/>
        </w:rPr>
        <w:t>（街道、中心）</w:t>
      </w:r>
      <w:r>
        <w:rPr>
          <w:rFonts w:hint="eastAsia" w:ascii="仿宋_GB2312" w:hAnsi="仿宋_GB2312" w:eastAsia="仿宋_GB2312" w:cs="仿宋_GB2312"/>
          <w:color w:val="auto"/>
          <w:kern w:val="0"/>
          <w:sz w:val="32"/>
          <w:szCs w:val="32"/>
        </w:rPr>
        <w:t>党委政府。对新出现非法使用宅基地建住宅行为处置不力、监督管理工作不到位的乡镇，依法依规对相关责任人进行了约谈问责。</w:t>
      </w:r>
    </w:p>
    <w:p>
      <w:pPr>
        <w:pStyle w:val="2"/>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lang w:val="en-US" w:eastAsia="zh-CN"/>
        </w:rPr>
      </w:pPr>
      <w:r>
        <w:rPr>
          <w:rFonts w:hint="eastAsia" w:ascii="仿宋_GB2312" w:hAnsi="仿宋" w:eastAsia="仿宋_GB2312" w:cs="Times New Roman"/>
          <w:b/>
          <w:bCs/>
          <w:kern w:val="2"/>
          <w:sz w:val="32"/>
          <w:szCs w:val="32"/>
          <w:lang w:val="en-US" w:eastAsia="zh-CN" w:bidi="ar-SA"/>
        </w:rPr>
        <w:t>4.抓政策宣传。</w:t>
      </w:r>
      <w:r>
        <w:rPr>
          <w:rFonts w:hint="eastAsia" w:ascii="仿宋_GB2312" w:hAnsi="仿宋" w:eastAsia="仿宋_GB2312" w:cs="Times New Roman"/>
          <w:bCs w:val="0"/>
          <w:kern w:val="2"/>
          <w:sz w:val="32"/>
          <w:szCs w:val="32"/>
          <w:lang w:val="en-US" w:eastAsia="zh-CN" w:bidi="ar-SA"/>
        </w:rPr>
        <w:t>利用各种会议、宣传标语、村村响、微信群等不断宣传农业生产社会化服务的政策，使政策落实到千家万户，营造浓厚的农业生产社会化服务的良好氛围。在宣讲政策的同时，对服务组织情况进行摸底排查，建立了全市农业生产社会化服务主体名录库，便于对服务主体的指导监督管理；</w:t>
      </w:r>
      <w:r>
        <w:rPr>
          <w:rFonts w:hint="eastAsia" w:ascii="仿宋_GB2312" w:hAnsi="仿宋_GB2312" w:eastAsia="仿宋_GB2312" w:cs="仿宋_GB2312"/>
          <w:color w:val="auto"/>
          <w:sz w:val="32"/>
          <w:szCs w:val="32"/>
        </w:rPr>
        <w:t>利用流动宣传车、横幅标语、发放宣传资料、电视多媒体、微信</w:t>
      </w:r>
      <w:r>
        <w:rPr>
          <w:rFonts w:hint="eastAsia" w:ascii="仿宋_GB2312" w:hAnsi="仿宋_GB2312" w:eastAsia="仿宋_GB2312" w:cs="仿宋_GB2312"/>
          <w:color w:val="auto"/>
          <w:sz w:val="32"/>
          <w:szCs w:val="32"/>
          <w:lang w:val="en-US" w:eastAsia="zh-CN"/>
        </w:rPr>
        <w:t>公众号</w:t>
      </w:r>
      <w:r>
        <w:rPr>
          <w:rFonts w:hint="eastAsia" w:ascii="仿宋_GB2312" w:hAnsi="仿宋_GB2312" w:eastAsia="仿宋_GB2312" w:cs="仿宋_GB2312"/>
          <w:color w:val="auto"/>
          <w:sz w:val="32"/>
          <w:szCs w:val="32"/>
        </w:rPr>
        <w:t>、短信等多种形式在全市各镇（街道、中心）开展政策宣传，让村民人人知晓建房政策，让政策切切实实深入人心。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5.抓主体遴选。</w:t>
      </w:r>
      <w:r>
        <w:rPr>
          <w:rFonts w:hint="eastAsia" w:ascii="仿宋_GB2312" w:hAnsi="仿宋" w:eastAsia="仿宋_GB2312" w:cs="Times New Roman"/>
          <w:bCs w:val="0"/>
          <w:kern w:val="2"/>
          <w:sz w:val="32"/>
          <w:szCs w:val="32"/>
          <w:lang w:val="en-US" w:eastAsia="zh-CN" w:bidi="ar-SA"/>
        </w:rPr>
        <w:t>通过主体申报、镇（街道）择优推荐、现场考察、市级审核评定的程序，机收服务秸秆综合利用、统防统治、稻谷烘干仓储加工销售等4个环节中已评定47家服务主体。服务主体拥有服务机械574套台，其中：插秧机50台，抛秧17台(参加服务作业的11台，12月份另购机6台)，收割机299台，统防统治飞防机55台，烘干机120组，碾米机18套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6.抓指导检查。</w:t>
      </w:r>
      <w:r>
        <w:rPr>
          <w:rFonts w:hint="eastAsia" w:ascii="仿宋_GB2312" w:hAnsi="Calibri" w:eastAsia="仿宋_GB2312" w:cs="宋体"/>
          <w:color w:val="auto"/>
          <w:sz w:val="32"/>
          <w:szCs w:val="32"/>
          <w:lang w:val="en-US" w:eastAsia="zh-CN"/>
        </w:rPr>
        <w:t>通过</w:t>
      </w:r>
      <w:r>
        <w:rPr>
          <w:rFonts w:hint="eastAsia" w:ascii="仿宋_GB2312" w:hAnsi="Calibri" w:eastAsia="仿宋_GB2312" w:cs="宋体"/>
          <w:color w:val="auto"/>
          <w:sz w:val="32"/>
          <w:szCs w:val="32"/>
        </w:rPr>
        <w:t>出台《</w:t>
      </w:r>
      <w:r>
        <w:rPr>
          <w:rFonts w:ascii="仿宋_GB2312" w:hAnsi="Calibri" w:eastAsia="仿宋_GB2312" w:cs="宋体"/>
          <w:color w:val="auto"/>
          <w:sz w:val="32"/>
          <w:szCs w:val="32"/>
        </w:rPr>
        <w:t>20</w:t>
      </w:r>
      <w:r>
        <w:rPr>
          <w:rFonts w:hint="eastAsia" w:ascii="仿宋_GB2312" w:hAnsi="Calibri" w:eastAsia="仿宋_GB2312" w:cs="宋体"/>
          <w:color w:val="auto"/>
          <w:sz w:val="32"/>
          <w:szCs w:val="32"/>
          <w:lang w:val="en-US" w:eastAsia="zh-CN"/>
        </w:rPr>
        <w:t>22</w:t>
      </w:r>
      <w:r>
        <w:rPr>
          <w:rFonts w:hint="eastAsia" w:ascii="仿宋_GB2312" w:hAnsi="Calibri" w:eastAsia="仿宋_GB2312" w:cs="宋体"/>
          <w:color w:val="auto"/>
          <w:sz w:val="32"/>
          <w:szCs w:val="32"/>
        </w:rPr>
        <w:t>年度农民负担监督管理工作方案》，明确了责任目标，狠抓了日常监督和专项治理，有效遏制了加重农民负担行为。为落实好农民负担领导负责制和责任追究制，将农民负担监管工作纳入乡镇绩效考核和党风廉政建设目标管理考核内容，</w:t>
      </w:r>
      <w:r>
        <w:rPr>
          <w:rFonts w:ascii="仿宋_GB2312" w:hAnsi="Calibri" w:eastAsia="仿宋_GB2312" w:cs="宋体"/>
          <w:color w:val="auto"/>
          <w:sz w:val="32"/>
          <w:szCs w:val="32"/>
        </w:rPr>
        <w:t>1</w:t>
      </w:r>
      <w:r>
        <w:rPr>
          <w:rFonts w:hint="eastAsia" w:ascii="仿宋_GB2312" w:hAnsi="Calibri" w:eastAsia="仿宋_GB2312" w:cs="宋体"/>
          <w:color w:val="auto"/>
          <w:sz w:val="32"/>
          <w:szCs w:val="32"/>
          <w:lang w:val="en-US" w:eastAsia="zh-CN"/>
        </w:rPr>
        <w:t>4</w:t>
      </w:r>
      <w:r>
        <w:rPr>
          <w:rFonts w:hint="eastAsia" w:ascii="仿宋_GB2312" w:hAnsi="Calibri" w:eastAsia="仿宋_GB2312" w:cs="宋体"/>
          <w:color w:val="auto"/>
          <w:sz w:val="32"/>
          <w:szCs w:val="32"/>
        </w:rPr>
        <w:t>个乡镇场街道和</w:t>
      </w:r>
      <w:r>
        <w:rPr>
          <w:rFonts w:hint="eastAsia" w:ascii="仿宋_GB2312" w:hAnsi="Calibri" w:eastAsia="仿宋_GB2312" w:cs="宋体"/>
          <w:color w:val="auto"/>
          <w:sz w:val="32"/>
          <w:szCs w:val="32"/>
          <w:lang w:val="en-US" w:eastAsia="zh-CN"/>
        </w:rPr>
        <w:t>17</w:t>
      </w:r>
      <w:r>
        <w:rPr>
          <w:rFonts w:hint="eastAsia" w:ascii="仿宋_GB2312" w:hAnsi="Calibri" w:eastAsia="仿宋_GB2312" w:cs="宋体"/>
          <w:color w:val="auto"/>
          <w:sz w:val="32"/>
          <w:szCs w:val="32"/>
        </w:rPr>
        <w:t>个市直涉负部门与市政府签订了减负工作责任状。认真开展了监督检查，全年共组织进行了</w:t>
      </w:r>
      <w:r>
        <w:rPr>
          <w:rFonts w:hint="eastAsia" w:ascii="仿宋_GB2312" w:hAnsi="Calibri" w:eastAsia="仿宋_GB2312" w:cs="宋体"/>
          <w:color w:val="auto"/>
          <w:sz w:val="32"/>
          <w:szCs w:val="32"/>
          <w:lang w:val="en-US" w:eastAsia="zh-CN"/>
        </w:rPr>
        <w:t>3</w:t>
      </w:r>
      <w:r>
        <w:rPr>
          <w:rFonts w:hint="eastAsia" w:ascii="仿宋_GB2312" w:hAnsi="Calibri" w:eastAsia="仿宋_GB2312" w:cs="宋体"/>
          <w:color w:val="auto"/>
          <w:sz w:val="32"/>
          <w:szCs w:val="32"/>
        </w:rPr>
        <w:t>次监督检查</w:t>
      </w:r>
      <w:r>
        <w:rPr>
          <w:rFonts w:hint="eastAsia" w:ascii="仿宋_GB2312" w:hAnsi="Calibri" w:eastAsia="仿宋_GB2312" w:cs="宋体"/>
          <w:color w:val="auto"/>
          <w:sz w:val="32"/>
          <w:szCs w:val="32"/>
          <w:lang w:eastAsia="zh-CN"/>
        </w:rPr>
        <w:t>；</w:t>
      </w:r>
      <w:r>
        <w:rPr>
          <w:rFonts w:hint="eastAsia" w:ascii="仿宋_GB2312" w:hAnsi="仿宋_GB2312" w:eastAsia="仿宋_GB2312" w:cs="仿宋_GB2312"/>
          <w:color w:val="auto"/>
          <w:sz w:val="32"/>
          <w:szCs w:val="32"/>
        </w:rPr>
        <w:t>按照省、市要求，对各乡镇（街道、中心）定期开展巡查督导，主要对各乡镇（街道、中心）宅基地管理与改革工作开展进度、是否存在违法建房、审批手续是否规范、部门巡查情况是否到位，对督查中出现的问题，责令整改，指导并督促乡镇整改。</w:t>
      </w:r>
      <w:r>
        <w:rPr>
          <w:rFonts w:hint="eastAsia" w:ascii="仿宋_GB2312" w:hAnsi="Calibri" w:eastAsia="仿宋_GB2312" w:cs="宋体"/>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（五）工作成效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bCs w:val="0"/>
          <w:kern w:val="2"/>
          <w:sz w:val="32"/>
          <w:szCs w:val="32"/>
          <w:lang w:val="en-US" w:eastAsia="zh-CN" w:bidi="ar-SA"/>
        </w:rPr>
      </w:pPr>
      <w:r>
        <w:rPr>
          <w:rFonts w:hint="eastAsia" w:ascii="仿宋_GB2312" w:hAnsi="ˎ̥" w:eastAsia="仿宋_GB2312" w:cs="宋体"/>
          <w:color w:val="auto"/>
          <w:kern w:val="0"/>
          <w:sz w:val="32"/>
          <w:szCs w:val="32"/>
          <w:lang w:val="en-US" w:eastAsia="zh-CN"/>
        </w:rPr>
        <w:t>1.</w:t>
      </w:r>
      <w:r>
        <w:rPr>
          <w:rFonts w:hint="eastAsia" w:ascii="仿宋_GB2312" w:hAnsi="ˎ̥" w:eastAsia="仿宋_GB2312" w:cs="宋体"/>
          <w:color w:val="auto"/>
          <w:kern w:val="0"/>
          <w:sz w:val="32"/>
          <w:szCs w:val="32"/>
        </w:rPr>
        <w:t>突出“重管、勤查、严处”的工作举措，</w:t>
      </w:r>
      <w:r>
        <w:rPr>
          <w:rFonts w:hint="eastAsia" w:ascii="仿宋_GB2312" w:eastAsia="仿宋_GB2312"/>
          <w:color w:val="auto"/>
          <w:sz w:val="32"/>
          <w:szCs w:val="32"/>
        </w:rPr>
        <w:t>扎实开展了损害涉农利益行为整改工作，重点围绕农民反映突出的农村义务教育、农民建房、计划生育、农业用水等领域乱收费问题开展专项治理</w:t>
      </w:r>
      <w:r>
        <w:rPr>
          <w:rFonts w:hint="eastAsia" w:ascii="仿宋_GB2312" w:eastAsia="仿宋_GB2312"/>
          <w:color w:val="auto"/>
          <w:sz w:val="32"/>
          <w:szCs w:val="32"/>
          <w:lang w:eastAsia="zh-CN"/>
        </w:rPr>
        <w:t>；</w:t>
      </w:r>
      <w:r>
        <w:rPr>
          <w:rFonts w:hint="eastAsia" w:ascii="仿宋_GB2312" w:hAnsi="仿宋" w:eastAsia="仿宋_GB2312" w:cs="Times New Roman"/>
          <w:bCs w:val="0"/>
          <w:kern w:val="2"/>
          <w:sz w:val="32"/>
          <w:szCs w:val="32"/>
          <w:lang w:val="en-US" w:eastAsia="zh-CN" w:bidi="ar-SA"/>
        </w:rPr>
        <w:t>通过开展粮食生产社会化服务试点工作，我市大大提高了农业生产机械化应用水平，提高了服务组织的服务积极性和服务质量，规范了服务组织的营运行为。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bCs w:val="0"/>
          <w:kern w:val="2"/>
          <w:sz w:val="32"/>
          <w:szCs w:val="32"/>
          <w:lang w:val="en-US" w:eastAsia="zh-CN" w:bidi="ar-SA"/>
        </w:rPr>
        <w:t>2.通过</w:t>
      </w:r>
      <w:r>
        <w:rPr>
          <w:rFonts w:hint="eastAsia" w:ascii="仿宋" w:hAnsi="仿宋" w:eastAsia="仿宋" w:cs="仿宋"/>
          <w:color w:val="000000"/>
          <w:sz w:val="32"/>
          <w:szCs w:val="32"/>
        </w:rPr>
        <w:t>开展农村宅基地动态巡查，及时发现和处置涉及宅基地的各类违法行为，防止产生新的违法违规占地现象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指导村级组织完善宅基地民主管理程序，探索设立</w:t>
      </w:r>
      <w:r>
        <w:rPr>
          <w:rFonts w:hint="eastAsia" w:ascii="仿宋" w:hAnsi="仿宋" w:eastAsia="仿宋" w:cs="仿宋"/>
          <w:color w:val="000000"/>
          <w:sz w:val="32"/>
          <w:szCs w:val="32"/>
          <w:lang w:val="en-US" w:eastAsia="zh-CN"/>
        </w:rPr>
        <w:t>了</w:t>
      </w:r>
      <w:r>
        <w:rPr>
          <w:rFonts w:hint="eastAsia" w:ascii="仿宋" w:hAnsi="仿宋" w:eastAsia="仿宋" w:cs="仿宋"/>
          <w:color w:val="000000"/>
          <w:sz w:val="32"/>
          <w:szCs w:val="32"/>
        </w:rPr>
        <w:t>村级宅基地协管员</w:t>
      </w:r>
      <w:r>
        <w:rPr>
          <w:rFonts w:hint="eastAsia" w:ascii="仿宋" w:hAnsi="仿宋" w:eastAsia="仿宋" w:cs="仿宋"/>
          <w:color w:val="000000"/>
          <w:sz w:val="32"/>
          <w:szCs w:val="32"/>
          <w:lang w:eastAsia="zh-CN"/>
        </w:rPr>
        <w:t>，</w:t>
      </w:r>
      <w:r>
        <w:rPr>
          <w:rFonts w:hint="eastAsia" w:ascii="仿宋_GB2312" w:hAnsi="仿宋" w:eastAsia="仿宋_GB2312" w:cs="Times New Roman"/>
          <w:bCs w:val="0"/>
          <w:kern w:val="2"/>
          <w:sz w:val="32"/>
          <w:szCs w:val="32"/>
          <w:lang w:val="en-US" w:eastAsia="zh-CN" w:bidi="ar-SA"/>
        </w:rPr>
        <w:t>强化了镇属地责任，充实了村镇专班力量，对新增违建“零容忍”，将违法行为遏制在萌芽状态，保障农民住房权益，让农民住有所居。</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eastAsia="黑体"/>
          <w:sz w:val="32"/>
          <w:szCs w:val="32"/>
        </w:rPr>
      </w:pPr>
      <w:r>
        <w:rPr>
          <w:rFonts w:hint="eastAsia" w:ascii="黑体" w:eastAsia="黑体"/>
          <w:sz w:val="32"/>
          <w:szCs w:val="32"/>
        </w:rPr>
        <w:t>三、部门专项组织实施情况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（一）专项组织情况分析。</w:t>
      </w:r>
      <w:r>
        <w:rPr>
          <w:rFonts w:hint="eastAsia" w:ascii="仿宋_GB2312" w:eastAsia="仿宋_GB2312"/>
          <w:sz w:val="32"/>
          <w:szCs w:val="32"/>
          <w:lang w:val="en-US" w:eastAsia="zh-CN"/>
        </w:rPr>
        <w:t>本单位</w:t>
      </w:r>
      <w:r>
        <w:rPr>
          <w:rFonts w:hint="eastAsia" w:ascii="仿宋_GB2312" w:hAnsi="仿宋" w:eastAsia="仿宋_GB2312" w:cs="Times New Roman"/>
          <w:sz w:val="32"/>
          <w:szCs w:val="32"/>
          <w:lang w:eastAsia="zh-CN"/>
        </w:rPr>
        <w:t>专项组织由主要领导任组长的项目实施小组，严格执行会计法和专项资金管理办法，自觉加强专项资金使用管理，设立项目专账，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（二）专项资金管理情况分析。</w:t>
      </w:r>
      <w:r>
        <w:rPr>
          <w:rFonts w:hint="eastAsia" w:ascii="仿宋_GB2312" w:hAnsi="仿宋" w:eastAsia="仿宋_GB2312" w:cs="Times New Roman"/>
          <w:sz w:val="32"/>
          <w:szCs w:val="32"/>
          <w:lang w:eastAsia="zh-CN"/>
        </w:rPr>
        <w:t>单位</w:t>
      </w:r>
      <w:r>
        <w:rPr>
          <w:rFonts w:hint="eastAsia" w:ascii="仿宋_GB2312" w:hAnsi="仿宋" w:eastAsia="仿宋_GB2312" w:cs="Times New Roman"/>
          <w:sz w:val="32"/>
          <w:szCs w:val="32"/>
          <w:lang w:val="en-US" w:eastAsia="zh-CN"/>
        </w:rPr>
        <w:t>本年度</w:t>
      </w:r>
      <w:r>
        <w:rPr>
          <w:rFonts w:hint="eastAsia" w:ascii="仿宋_GB2312" w:hAnsi="仿宋" w:eastAsia="仿宋_GB2312" w:cs="Times New Roman"/>
          <w:sz w:val="32"/>
          <w:szCs w:val="32"/>
          <w:lang w:eastAsia="zh-CN"/>
        </w:rPr>
        <w:t>实现了专项资金统一归口管理，坚持专款专用，量入为出，严禁截留、挪用和不合理支出。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eastAsia="黑体"/>
          <w:sz w:val="32"/>
          <w:szCs w:val="32"/>
        </w:rPr>
      </w:pPr>
      <w:r>
        <w:rPr>
          <w:rFonts w:hint="eastAsia" w:ascii="黑体" w:eastAsia="黑体"/>
          <w:sz w:val="32"/>
          <w:szCs w:val="32"/>
        </w:rPr>
        <w:t>四、存在的问题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（一）资金及财务管理方面的问题。</w:t>
      </w:r>
    </w:p>
    <w:p>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1、管理方面的问题。</w:t>
      </w:r>
      <w:r>
        <w:rPr>
          <w:rFonts w:hint="eastAsia" w:ascii="仿宋_GB2312" w:hAnsi="仿宋" w:eastAsia="仿宋_GB2312" w:cs="Times New Roman"/>
          <w:sz w:val="32"/>
          <w:szCs w:val="32"/>
          <w:lang w:eastAsia="zh-CN"/>
        </w:rPr>
        <w:t>单位本年度无当年资金及财务管理中存在的重大问题。</w:t>
      </w:r>
    </w:p>
    <w:p>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eastAsia="仿宋_GB2312"/>
          <w:b/>
          <w:bCs/>
          <w:sz w:val="32"/>
          <w:szCs w:val="32"/>
        </w:rPr>
        <w:t>2、分配方面的问题。</w:t>
      </w:r>
      <w:r>
        <w:rPr>
          <w:rFonts w:hint="eastAsia" w:ascii="仿宋_GB2312" w:hAnsi="仿宋" w:eastAsia="仿宋_GB2312" w:cs="Times New Roman"/>
          <w:sz w:val="32"/>
          <w:szCs w:val="32"/>
          <w:lang w:eastAsia="zh-CN"/>
        </w:rPr>
        <w:t>单位本年度无当年资金存在的</w:t>
      </w:r>
      <w:r>
        <w:rPr>
          <w:rFonts w:hint="eastAsia" w:ascii="仿宋_GB2312" w:eastAsia="仿宋_GB2312"/>
          <w:sz w:val="32"/>
          <w:szCs w:val="32"/>
        </w:rPr>
        <w:t>分配方面问题</w:t>
      </w:r>
      <w:r>
        <w:rPr>
          <w:rFonts w:hint="eastAsia" w:ascii="仿宋_GB2312" w:hAnsi="仿宋" w:eastAsia="仿宋_GB2312" w:cs="Times New Roman"/>
          <w:sz w:val="32"/>
          <w:szCs w:val="32"/>
          <w:lang w:eastAsia="zh-CN"/>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3、资金拨付方面的问题。</w:t>
      </w:r>
      <w:r>
        <w:rPr>
          <w:rFonts w:hint="eastAsia" w:ascii="仿宋_GB2312" w:eastAsia="仿宋_GB2312"/>
          <w:sz w:val="32"/>
          <w:szCs w:val="32"/>
          <w:lang w:val="en-US" w:eastAsia="zh-CN"/>
        </w:rPr>
        <w:t>单位本年度资金拨付已在2022年12月31日前全额拨付到位，无资金拨付方面问题</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4、资金使用方面的问题。</w:t>
      </w:r>
      <w:r>
        <w:rPr>
          <w:rFonts w:hint="eastAsia" w:ascii="仿宋_GB2312" w:eastAsia="仿宋_GB2312"/>
          <w:sz w:val="32"/>
          <w:szCs w:val="32"/>
          <w:lang w:val="en-US" w:eastAsia="zh-CN"/>
        </w:rPr>
        <w:t>单位本年度</w:t>
      </w:r>
      <w:r>
        <w:rPr>
          <w:rFonts w:hint="eastAsia" w:ascii="仿宋_GB2312" w:eastAsia="仿宋_GB2312"/>
          <w:sz w:val="32"/>
          <w:szCs w:val="32"/>
        </w:rPr>
        <w:t>资金使用</w:t>
      </w:r>
      <w:r>
        <w:rPr>
          <w:rFonts w:hint="eastAsia" w:ascii="仿宋_GB2312" w:eastAsia="仿宋_GB2312"/>
          <w:sz w:val="32"/>
          <w:szCs w:val="32"/>
          <w:lang w:val="en-US" w:eastAsia="zh-CN"/>
        </w:rPr>
        <w:t>严格按照财政预算文件执行，专项资金实施方案均通过对口股室审批</w:t>
      </w:r>
      <w:r>
        <w:rPr>
          <w:rFonts w:hint="eastAsia" w:ascii="仿宋_GB2312" w:eastAsia="仿宋_GB2312"/>
          <w:sz w:val="32"/>
          <w:szCs w:val="32"/>
        </w:rPr>
        <w:t>，</w:t>
      </w:r>
      <w:r>
        <w:rPr>
          <w:rFonts w:hint="eastAsia" w:ascii="仿宋_GB2312" w:eastAsia="仿宋_GB2312"/>
          <w:sz w:val="32"/>
          <w:szCs w:val="32"/>
          <w:lang w:val="en-US" w:eastAsia="zh-CN"/>
        </w:rPr>
        <w:t>并留存相关申报资料存档备查，</w:t>
      </w:r>
      <w:r>
        <w:rPr>
          <w:rFonts w:hint="eastAsia" w:ascii="仿宋_GB2312" w:eastAsia="仿宋_GB2312"/>
          <w:sz w:val="32"/>
          <w:szCs w:val="32"/>
        </w:rPr>
        <w:t>无挤占、截留、挪用、闲置等现象。</w:t>
      </w:r>
    </w:p>
    <w:p>
      <w:pPr>
        <w:keepNext w:val="0"/>
        <w:keepLines w:val="0"/>
        <w:pageBreakBefore w:val="0"/>
        <w:kinsoku/>
        <w:wordWrap/>
        <w:overflowPunct/>
        <w:topLinePunct w:val="0"/>
        <w:autoSpaceDE/>
        <w:autoSpaceDN/>
        <w:bidi w:val="0"/>
        <w:spacing w:line="600" w:lineRule="exact"/>
        <w:ind w:firstLine="482" w:firstLineChars="150"/>
        <w:textAlignment w:val="auto"/>
        <w:rPr>
          <w:rFonts w:hint="eastAsia" w:ascii="仿宋_GB2312" w:eastAsia="仿宋_GB2312"/>
          <w:sz w:val="32"/>
          <w:szCs w:val="32"/>
        </w:rPr>
      </w:pPr>
      <w:r>
        <w:rPr>
          <w:rFonts w:hint="eastAsia" w:ascii="仿宋_GB2312" w:eastAsia="仿宋_GB2312"/>
          <w:b/>
          <w:bCs/>
          <w:sz w:val="32"/>
          <w:szCs w:val="32"/>
        </w:rPr>
        <w:t>5、财务核算方面的问题。</w:t>
      </w:r>
      <w:r>
        <w:rPr>
          <w:rFonts w:hint="eastAsia" w:ascii="仿宋_GB2312" w:eastAsia="仿宋_GB2312"/>
          <w:sz w:val="32"/>
          <w:szCs w:val="32"/>
          <w:lang w:val="en-US" w:eastAsia="zh-CN"/>
        </w:rPr>
        <w:t>单位本年度无</w:t>
      </w:r>
      <w:r>
        <w:rPr>
          <w:rFonts w:hint="eastAsia" w:ascii="仿宋_GB2312" w:eastAsia="仿宋_GB2312"/>
          <w:sz w:val="32"/>
          <w:szCs w:val="32"/>
        </w:rPr>
        <w:t>财务核算</w:t>
      </w:r>
      <w:r>
        <w:rPr>
          <w:rFonts w:hint="eastAsia" w:ascii="仿宋_GB2312" w:eastAsia="仿宋_GB2312"/>
          <w:sz w:val="32"/>
          <w:szCs w:val="32"/>
          <w:lang w:val="en-US" w:eastAsia="zh-CN"/>
        </w:rPr>
        <w:t>方面的问题，严格遵照政府会计制度执行，会计档案保证合法合规并完整存档保存</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（二）项目管理方面的问题。</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hAnsi="仿宋" w:eastAsia="仿宋_GB2312" w:cs="Times New Roman"/>
          <w:sz w:val="32"/>
          <w:szCs w:val="32"/>
          <w:lang w:eastAsia="zh-CN"/>
        </w:rPr>
        <w:t>单位本年度无当年项目管理中存在的重大问题。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eastAsia="黑体"/>
          <w:sz w:val="32"/>
          <w:szCs w:val="32"/>
        </w:rPr>
      </w:pPr>
      <w:r>
        <w:rPr>
          <w:rFonts w:hint="eastAsia" w:ascii="黑体" w:eastAsia="黑体"/>
          <w:sz w:val="32"/>
          <w:szCs w:val="32"/>
        </w:rPr>
        <w:t>五、改进措施及有关建议</w:t>
      </w:r>
    </w:p>
    <w:p>
      <w:pPr>
        <w:spacing w:line="500" w:lineRule="exact"/>
        <w:ind w:firstLine="640" w:firstLineChars="200"/>
        <w:rPr>
          <w:rFonts w:hint="default" w:ascii="仿宋_GB2312" w:eastAsia="仿宋_GB2312"/>
          <w:sz w:val="32"/>
          <w:szCs w:val="32"/>
          <w:lang w:val="en-US" w:eastAsia="zh-CN"/>
        </w:rPr>
      </w:pPr>
      <w:r>
        <w:rPr>
          <w:rFonts w:hint="eastAsia" w:ascii="仿宋_GB2312" w:hAnsi="仿宋" w:eastAsia="仿宋_GB2312" w:cs="Times New Roman"/>
          <w:sz w:val="32"/>
          <w:szCs w:val="32"/>
          <w:lang w:eastAsia="zh-CN"/>
        </w:rPr>
        <w:t>单位本年度无对绩效自评工作的意见和建议。</w:t>
      </w:r>
    </w:p>
    <w:p>
      <w:pPr>
        <w:keepNext w:val="0"/>
        <w:keepLines w:val="0"/>
        <w:pageBreakBefore w:val="0"/>
        <w:kinsoku/>
        <w:wordWrap/>
        <w:overflowPunct/>
        <w:topLinePunct w:val="0"/>
        <w:autoSpaceDE/>
        <w:autoSpaceDN/>
        <w:bidi w:val="0"/>
        <w:spacing w:line="600" w:lineRule="exact"/>
        <w:textAlignment w:val="auto"/>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BBE998-7A3E-4A38-BA10-8E876957DD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DE8EC21-B956-4F82-A614-2140DB293C17}"/>
  </w:font>
  <w:font w:name="方正小标宋简体">
    <w:altName w:val="方正舒体"/>
    <w:panose1 w:val="02000000000000000000"/>
    <w:charset w:val="86"/>
    <w:family w:val="script"/>
    <w:pitch w:val="default"/>
    <w:sig w:usb0="00000000" w:usb1="00000000" w:usb2="00000000" w:usb3="00000000" w:csb0="00040000" w:csb1="00000000"/>
  </w:font>
  <w:font w:name="方正大标宋简体">
    <w:panose1 w:val="02000000000000000000"/>
    <w:charset w:val="86"/>
    <w:family w:val="script"/>
    <w:pitch w:val="default"/>
    <w:sig w:usb0="A00002BF" w:usb1="184F6CFA" w:usb2="00000012" w:usb3="00000000" w:csb0="00040001" w:csb1="00000000"/>
    <w:embedRegular r:id="rId3" w:fontKey="{8EBF5658-7E14-4A6F-8356-42FFE06260F4}"/>
  </w:font>
  <w:font w:name="华文中宋">
    <w:panose1 w:val="02010600040101010101"/>
    <w:charset w:val="86"/>
    <w:family w:val="auto"/>
    <w:pitch w:val="default"/>
    <w:sig w:usb0="00000287" w:usb1="080F0000" w:usb2="00000000" w:usb3="00000000" w:csb0="0004009F" w:csb1="DFD70000"/>
    <w:embedRegular r:id="rId4" w:fontKey="{5A09F4CF-4DFF-4A4B-8A9A-14AA717F6AEC}"/>
  </w:font>
  <w:font w:name="仿宋_GB2312">
    <w:altName w:val="仿宋"/>
    <w:panose1 w:val="02010609030101010101"/>
    <w:charset w:val="86"/>
    <w:family w:val="modern"/>
    <w:pitch w:val="default"/>
    <w:sig w:usb0="00000000" w:usb1="00000000" w:usb2="00000010" w:usb3="00000000" w:csb0="00040000" w:csb1="00000000"/>
    <w:embedRegular r:id="rId5" w:fontKey="{239AA756-B556-4365-B612-5E695C534ED1}"/>
  </w:font>
  <w:font w:name="楷体">
    <w:panose1 w:val="02010609060101010101"/>
    <w:charset w:val="86"/>
    <w:family w:val="auto"/>
    <w:pitch w:val="default"/>
    <w:sig w:usb0="800002BF" w:usb1="38CF7CFA" w:usb2="00000016" w:usb3="00000000" w:csb0="00040001" w:csb1="00000000"/>
    <w:embedRegular r:id="rId6" w:fontKey="{271AB3EE-A054-4325-B4C1-35FF08078C3D}"/>
  </w:font>
  <w:font w:name="仿宋">
    <w:panose1 w:val="02010609060101010101"/>
    <w:charset w:val="86"/>
    <w:family w:val="auto"/>
    <w:pitch w:val="default"/>
    <w:sig w:usb0="800002BF" w:usb1="38CF7CFA" w:usb2="00000016" w:usb3="00000000" w:csb0="00040001" w:csb1="00000000"/>
    <w:embedRegular r:id="rId7" w:fontKey="{8D3A0E87-2C2F-4548-A32B-7A8F050D6466}"/>
  </w:font>
  <w:font w:name="ˎ̥">
    <w:altName w:val="Times New Roman"/>
    <w:panose1 w:val="00000000000000000000"/>
    <w:charset w:val="00"/>
    <w:family w:val="roman"/>
    <w:pitch w:val="default"/>
    <w:sig w:usb0="00000000" w:usb1="00000000" w:usb2="00000000" w:usb3="00000000" w:csb0="00040001" w:csb1="00000000"/>
    <w:embedRegular r:id="rId8" w:fontKey="{6EE27066-2330-424E-912B-66C119FC0015}"/>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D7E4F"/>
    <w:multiLevelType w:val="singleLevel"/>
    <w:tmpl w:val="07FD7E4F"/>
    <w:lvl w:ilvl="0" w:tentative="0">
      <w:start w:val="2"/>
      <w:numFmt w:val="chineseCounting"/>
      <w:suff w:val="nothing"/>
      <w:lvlText w:val="（%1）"/>
      <w:lvlJc w:val="left"/>
      <w:rPr>
        <w:rFonts w:hint="eastAsia"/>
      </w:rPr>
    </w:lvl>
  </w:abstractNum>
  <w:abstractNum w:abstractNumId="1">
    <w:nsid w:val="1787A264"/>
    <w:multiLevelType w:val="singleLevel"/>
    <w:tmpl w:val="1787A264"/>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ZTA1NzI2MTcyMmE2M2ZiNzEyN2NiYTY4NWQ0MzQifQ=="/>
  </w:docVars>
  <w:rsids>
    <w:rsidRoot w:val="7E341F2B"/>
    <w:rsid w:val="08504B63"/>
    <w:rsid w:val="31BC0C7B"/>
    <w:rsid w:val="4C0F4811"/>
    <w:rsid w:val="7E34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9"/>
    <w:pPr>
      <w:keepNext/>
      <w:keepLines/>
      <w:widowControl w:val="0"/>
      <w:spacing w:line="700" w:lineRule="exact"/>
      <w:ind w:firstLine="0" w:firstLineChars="0"/>
      <w:jc w:val="center"/>
      <w:outlineLvl w:val="0"/>
    </w:pPr>
    <w:rPr>
      <w:rFonts w:ascii="Times New Roman" w:hAnsi="Times New Roman" w:eastAsia="方正小标宋简体" w:cs="Times New Roman"/>
      <w:bCs/>
      <w:kern w:val="44"/>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2640</Words>
  <Characters>2728</Characters>
  <Lines>0</Lines>
  <Paragraphs>0</Paragraphs>
  <TotalTime>2</TotalTime>
  <ScaleCrop>false</ScaleCrop>
  <LinksUpToDate>false</LinksUpToDate>
  <CharactersWithSpaces>2729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2023-04-22T23:50:00Z</dcterms:created>
  <dc:creator>叶恬</dc:creator>
  <cp:lastModifiedBy>孙泽宇</cp:lastModifiedBy>
  <dcterms:modified xsi:type="dcterms:W3CDTF">2023-11-09T03:23:35Z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640834B1AAAB42658CC2DF5F59514EB9_13</vt:lpwstr>
  </property>
</Properties>
</file>