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fill="FFFFFF"/>
        <w:spacing w:line="600" w:lineRule="atLeast"/>
        <w:jc w:val="center"/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eastAsia="zh-CN"/>
        </w:rPr>
        <w:t>沅江市法律援助中心</w:t>
      </w:r>
    </w:p>
    <w:p>
      <w:pPr>
        <w:pStyle w:val="4"/>
        <w:widowControl/>
        <w:shd w:val="clear" w:fill="FFFFFF"/>
        <w:spacing w:line="600" w:lineRule="atLeast"/>
        <w:jc w:val="center"/>
      </w:pPr>
      <w:r>
        <w:rPr>
          <w:rFonts w:hint="eastAsia"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  <w:lang w:val="en-US" w:eastAsia="zh-CN" w:bidi="ar-SA"/>
        </w:rPr>
        <w:t>2022</w:t>
      </w: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</w:rPr>
        <w:t>年度整体</w:t>
      </w:r>
      <w:r>
        <w:rPr>
          <w:b/>
          <w:bCs/>
          <w:color w:val="333333"/>
          <w:kern w:val="0"/>
          <w:sz w:val="44"/>
          <w:szCs w:val="44"/>
        </w:rPr>
        <w:t>支出绩效</w:t>
      </w:r>
      <w:r>
        <w:rPr>
          <w:b/>
          <w:bCs/>
          <w:color w:val="333333"/>
          <w:kern w:val="0"/>
          <w:sz w:val="44"/>
          <w:szCs w:val="44"/>
          <w:lang w:eastAsia="zh-CN"/>
        </w:rPr>
        <w:t>自</w:t>
      </w:r>
      <w:r>
        <w:rPr>
          <w:rFonts w:ascii="方正小标宋_GBK;宋体" w:hAnsi="方正小标宋_GBK;宋体" w:eastAsia="方正小标宋_GBK;宋体" w:cs="宋体"/>
          <w:b/>
          <w:bCs/>
          <w:color w:val="333333"/>
          <w:kern w:val="0"/>
          <w:sz w:val="44"/>
          <w:szCs w:val="44"/>
        </w:rPr>
        <w:t>评</w:t>
      </w:r>
      <w:r>
        <w:rPr>
          <w:b/>
          <w:bCs/>
          <w:color w:val="333333"/>
          <w:kern w:val="0"/>
          <w:sz w:val="44"/>
          <w:szCs w:val="44"/>
        </w:rPr>
        <w:t>报告</w:t>
      </w:r>
    </w:p>
    <w:p>
      <w:pPr>
        <w:pStyle w:val="4"/>
        <w:widowControl/>
        <w:shd w:val="clear" w:fill="FFFFFF"/>
        <w:spacing w:line="60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 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一、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</w:t>
      </w:r>
      <w:r>
        <w:rPr>
          <w:color w:val="333333"/>
          <w:kern w:val="0"/>
          <w:sz w:val="32"/>
          <w:szCs w:val="32"/>
        </w:rPr>
        <w:t>概况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（一）单位基本情况。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仿宋_GB2312;仿宋" w:hAnsi="仿宋_GB2312;仿宋" w:eastAsia="仿宋_GB2312;仿宋" w:cs="仿宋_GB2312;仿宋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1、机构设置和人员情况：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市法律援助中心</w:t>
      </w:r>
      <w:r>
        <w:rPr>
          <w:color w:val="333333"/>
          <w:kern w:val="0"/>
          <w:sz w:val="32"/>
          <w:szCs w:val="32"/>
        </w:rPr>
        <w:t>是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财政全额拨款一类公益事业单位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，</w:t>
      </w: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</w:rPr>
        <w:t>目前实有在职人员</w:t>
      </w:r>
      <w:r>
        <w:rPr>
          <w:rFonts w:hint="eastAsia"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</w:rPr>
        <w:t>人。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642"/>
        <w:jc w:val="both"/>
        <w:textAlignment w:val="auto"/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2、主要职责：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642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（一）组织、管理、协调、监督我市的法律援助工作；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（二）对公民申请法律援助事项进行初审，对符合法律援助条件的案件审批；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（三）解答法律咨询，代写法律文书；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（四）对重大、复杂、疑难和群体性的法律援助案件，及时上报市法律援助中心和市委和市政府；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（五）宣传法律援助制度；</w:t>
      </w:r>
    </w:p>
    <w:p>
      <w:pPr>
        <w:pStyle w:val="5"/>
        <w:keepNext w:val="0"/>
        <w:keepLines w:val="0"/>
        <w:pageBreakBefore w:val="0"/>
        <w:widowControl/>
        <w:shd w:val="clear" w:fill="FFFFFF"/>
        <w:overflowPunct/>
        <w:bidi w:val="0"/>
        <w:snapToGrid/>
        <w:spacing w:line="360" w:lineRule="exact"/>
        <w:ind w:left="0" w:right="0" w:firstLine="0"/>
        <w:jc w:val="both"/>
        <w:textAlignment w:val="auto"/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fill="FFFFFF"/>
          <w:lang w:val="en-US" w:eastAsia="zh-CN" w:bidi="ar-SA"/>
        </w:rPr>
        <w:t> 　　（六）负责收集并上报本市法律援助信息资料和统计工作等。</w:t>
      </w:r>
    </w:p>
    <w:p>
      <w:pPr>
        <w:pStyle w:val="4"/>
        <w:widowControl/>
        <w:shd w:val="clear" w:fill="FFFFFF"/>
        <w:spacing w:line="600" w:lineRule="atLeast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  <w:lang w:eastAsia="zh-CN"/>
        </w:rPr>
        <w:t>　　</w:t>
      </w: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3、</w:t>
      </w:r>
      <w:r>
        <w:rPr>
          <w:rFonts w:hint="eastAsia"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  <w:lang w:eastAsia="zh-CN"/>
        </w:rPr>
        <w:t>2022</w:t>
      </w: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年度重点工作：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楷体" w:hAnsi="楷体" w:eastAsia="楷体" w:cs="楷体"/>
          <w:b/>
          <w:bCs/>
          <w:sz w:val="32"/>
          <w:szCs w:val="32"/>
          <w:lang w:val="en-US" w:eastAsia="zh-CN"/>
        </w:rPr>
        <w:t>　　</w:t>
      </w: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1、进一步加大法援宣传力度，扩大法援覆盖面；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　　2、</w:t>
      </w:r>
      <w:r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  <w:t>健全刑事法律援助工作机制，实行刑辩全覆盖 ；</w:t>
      </w:r>
    </w:p>
    <w:p>
      <w:pPr>
        <w:pStyle w:val="4"/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color w:val="000000"/>
          <w:kern w:val="2"/>
          <w:sz w:val="32"/>
          <w:szCs w:val="32"/>
          <w:shd w:val="clear" w:fill="FFFFFF"/>
          <w:lang w:val="en-US" w:eastAsia="zh-CN" w:bidi="ar-SA"/>
        </w:rPr>
        <w:t>　　3、加强管理，提升法律服务质量注重协调，确保法律援助服务实效。</w:t>
      </w:r>
    </w:p>
    <w:p>
      <w:pPr>
        <w:pStyle w:val="4"/>
        <w:ind w:firstLine="640"/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ascii="仿宋" w:hAnsi="仿宋" w:eastAsia="仿宋" w:cs="宋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 w:bidi="ar-SA"/>
        </w:rPr>
        <w:t>4、尽职尽责，切实维护社会弱势群体合法权益。</w:t>
      </w:r>
    </w:p>
    <w:p>
      <w:pPr>
        <w:pStyle w:val="4"/>
        <w:widowControl/>
        <w:shd w:val="clear" w:fill="FFFFFF"/>
        <w:spacing w:line="560" w:lineRule="atLeast"/>
        <w:ind w:firstLine="643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000000"/>
          <w:kern w:val="0"/>
          <w:sz w:val="32"/>
          <w:szCs w:val="32"/>
        </w:rPr>
        <w:t>（二）单位整体支出规模、使用方向和主要内容、涉及范围等。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eastAsia="zh-CN"/>
        </w:rPr>
        <w:t>2022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年我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  <w:lang w:eastAsia="zh-CN"/>
        </w:rPr>
        <w:t>中心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预算总收入为</w:t>
      </w: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val="en-US" w:eastAsia="zh-CN" w:bidi="ar-SA"/>
        </w:rPr>
        <w:t>163.394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万元，其中：年初批复预算总收入为</w:t>
      </w:r>
      <w:r>
        <w:rPr>
          <w:rFonts w:hint="eastAsia" w:ascii="宋体" w:hAnsi="宋体" w:eastAsia="仿宋_GB2312;仿宋" w:cs="宋体"/>
          <w:color w:val="333333"/>
          <w:kern w:val="0"/>
          <w:sz w:val="32"/>
          <w:szCs w:val="21"/>
          <w:lang w:val="en-US" w:eastAsia="zh-CN"/>
        </w:rPr>
        <w:t>163.394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万元、上年结转财政拨款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  <w:lang w:val="en-US" w:eastAsia="zh-CN"/>
        </w:rPr>
        <w:t>0</w:t>
      </w:r>
      <w:r>
        <w:rPr>
          <w:rFonts w:ascii="宋体" w:hAnsi="宋体" w:eastAsia="仿宋_GB2312;仿宋" w:cs="宋体"/>
          <w:color w:val="333333"/>
          <w:kern w:val="0"/>
          <w:sz w:val="32"/>
          <w:szCs w:val="21"/>
        </w:rPr>
        <w:t>万元。具体明细如下：</w:t>
      </w:r>
    </w:p>
    <w:tbl>
      <w:tblPr>
        <w:tblStyle w:val="2"/>
        <w:tblW w:w="8100" w:type="dxa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项目</w:t>
            </w:r>
          </w:p>
        </w:tc>
        <w:tc>
          <w:tcPr>
            <w:tcW w:w="242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金额（万元）</w:t>
            </w:r>
          </w:p>
        </w:tc>
      </w:tr>
      <w:tr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一、年初预算总收入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eastAsia="仿宋_GB2312;仿宋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;仿宋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163.394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1、工资福利支出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37.359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2、一般商品和服务支出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</w:rPr>
              <w:t>3、</w:t>
            </w: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eastAsia="zh-CN"/>
              </w:rPr>
              <w:t>专项商品服务支出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  <w:t>4、对个人和家庭的补助支出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  <w:t>12.035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二、上年结转财政拨款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  <w:lang w:eastAsia="zh-CN"/>
              </w:rPr>
              <w:t>三</w:t>
            </w: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、年终结算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;仿宋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163.394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;仿宋" w:hAnsi="仿宋_GB2312;仿宋" w:eastAsia="仿宋_GB2312;仿宋" w:cs="宋体"/>
                <w:b/>
                <w:bCs/>
                <w:color w:val="333333"/>
                <w:kern w:val="0"/>
                <w:sz w:val="32"/>
                <w:szCs w:val="32"/>
              </w:rPr>
              <w:t>全年收入总计</w:t>
            </w:r>
          </w:p>
        </w:tc>
        <w:tc>
          <w:tcPr>
            <w:tcW w:w="2429" w:type="dxa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4"/>
              <w:widowControl w:val="0"/>
              <w:spacing w:line="600" w:lineRule="atLeast"/>
              <w:jc w:val="center"/>
              <w:rPr>
                <w:rFonts w:hint="default" w:ascii="仿宋_GB2312;仿宋" w:hAnsi="仿宋_GB2312;仿宋" w:eastAsia="仿宋_GB2312;仿宋" w:cs="宋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;仿宋" w:cs="Times New Roman"/>
                <w:color w:val="333333"/>
                <w:kern w:val="0"/>
                <w:sz w:val="32"/>
                <w:szCs w:val="32"/>
                <w:lang w:val="en-US" w:eastAsia="zh-CN" w:bidi="ar-SA"/>
              </w:rPr>
              <w:t>163.394</w:t>
            </w:r>
          </w:p>
        </w:tc>
      </w:tr>
    </w:tbl>
    <w:p>
      <w:pPr>
        <w:pStyle w:val="4"/>
        <w:ind w:firstLine="640"/>
        <w:jc w:val="left"/>
      </w:pPr>
      <w:r>
        <w:rPr>
          <w:rFonts w:ascii="仿宋" w:hAnsi="仿宋" w:eastAsia="仿宋" w:cs="仿宋"/>
          <w:sz w:val="32"/>
          <w:szCs w:val="32"/>
        </w:rPr>
        <w:t>沅江市</w:t>
      </w:r>
      <w:r>
        <w:rPr>
          <w:rFonts w:ascii="仿宋" w:hAnsi="仿宋" w:eastAsia="仿宋" w:cs="仿宋"/>
          <w:sz w:val="32"/>
          <w:szCs w:val="32"/>
          <w:lang w:eastAsia="zh-CN"/>
        </w:rPr>
        <w:t>法律援助中心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ascii="仿宋" w:hAnsi="仿宋" w:eastAsia="仿宋" w:cs="仿宋"/>
          <w:sz w:val="32"/>
          <w:szCs w:val="32"/>
        </w:rPr>
        <w:t>年度收入总计</w:t>
      </w:r>
      <w:r>
        <w:rPr>
          <w:rFonts w:hint="eastAsia" w:eastAsia="仿宋_GB2312;仿宋" w:cs="Times New Roman"/>
          <w:color w:val="333333"/>
          <w:kern w:val="0"/>
          <w:sz w:val="32"/>
          <w:szCs w:val="32"/>
          <w:lang w:val="en-US" w:eastAsia="zh-CN" w:bidi="ar-SA"/>
        </w:rPr>
        <w:t>163.394</w:t>
      </w:r>
      <w:r>
        <w:rPr>
          <w:rFonts w:ascii="仿宋" w:hAnsi="仿宋" w:eastAsia="仿宋" w:cs="仿宋"/>
          <w:sz w:val="32"/>
          <w:szCs w:val="32"/>
        </w:rPr>
        <w:t>万元，比上年同期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增加48.506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上升22</w:t>
      </w:r>
      <w:r>
        <w:rPr>
          <w:rFonts w:ascii="仿宋" w:hAnsi="仿宋" w:eastAsia="仿宋" w:cs="仿宋"/>
          <w:sz w:val="32"/>
          <w:szCs w:val="32"/>
        </w:rPr>
        <w:t>%；支出总计</w:t>
      </w:r>
      <w:r>
        <w:rPr>
          <w:rFonts w:hint="eastAsia" w:eastAsia="仿宋_GB2312;仿宋" w:cs="Times New Roman"/>
          <w:color w:val="333333"/>
          <w:kern w:val="0"/>
          <w:sz w:val="32"/>
          <w:szCs w:val="32"/>
          <w:lang w:val="en-US" w:eastAsia="zh-CN" w:bidi="ar-SA"/>
        </w:rPr>
        <w:t>163.394</w:t>
      </w:r>
      <w:r>
        <w:rPr>
          <w:rFonts w:ascii="仿宋" w:hAnsi="仿宋" w:eastAsia="仿宋" w:cs="仿宋"/>
          <w:sz w:val="32"/>
          <w:szCs w:val="32"/>
        </w:rPr>
        <w:t>万元。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二、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</w:t>
      </w:r>
      <w:r>
        <w:rPr>
          <w:color w:val="333333"/>
          <w:kern w:val="0"/>
          <w:sz w:val="32"/>
          <w:szCs w:val="32"/>
        </w:rPr>
        <w:t>使用情况</w:t>
      </w:r>
    </w:p>
    <w:p>
      <w:pPr>
        <w:pStyle w:val="4"/>
        <w:widowControl/>
        <w:shd w:val="clear" w:fill="FFFFFF"/>
        <w:spacing w:line="600" w:lineRule="atLeast"/>
        <w:ind w:firstLine="321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</w:rPr>
        <w:t>（一）基本支出</w:t>
      </w:r>
    </w:p>
    <w:p>
      <w:pPr>
        <w:pStyle w:val="4"/>
        <w:widowControl/>
        <w:shd w:val="clear" w:fill="FFFFFF"/>
        <w:spacing w:line="56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ascii="仿宋" w:hAnsi="仿宋" w:eastAsia="仿宋" w:cs="仿宋"/>
          <w:sz w:val="32"/>
          <w:szCs w:val="32"/>
        </w:rPr>
        <w:t>年度支出合计</w:t>
      </w:r>
      <w:r>
        <w:rPr>
          <w:rFonts w:hint="eastAsia" w:eastAsia="仿宋_GB2312;仿宋" w:cs="Times New Roman"/>
          <w:color w:val="333333"/>
          <w:kern w:val="0"/>
          <w:sz w:val="32"/>
          <w:szCs w:val="32"/>
          <w:lang w:val="en-US" w:eastAsia="zh-CN" w:bidi="ar-SA"/>
        </w:rPr>
        <w:t>163.394</w:t>
      </w:r>
      <w:r>
        <w:rPr>
          <w:rFonts w:ascii="仿宋" w:hAnsi="仿宋" w:eastAsia="仿宋" w:cs="仿宋"/>
          <w:sz w:val="32"/>
          <w:szCs w:val="32"/>
        </w:rPr>
        <w:t xml:space="preserve">万元，其中：基本支出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85.394</w:t>
      </w:r>
      <w:r>
        <w:rPr>
          <w:rFonts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ascii="仿宋" w:hAnsi="仿宋" w:eastAsia="仿宋" w:cs="仿宋"/>
          <w:sz w:val="32"/>
          <w:szCs w:val="32"/>
        </w:rPr>
        <w:t>%；项目支出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78</w:t>
      </w:r>
      <w:r>
        <w:rPr>
          <w:rFonts w:ascii="仿宋" w:hAnsi="仿宋" w:eastAsia="仿宋" w:cs="仿宋"/>
          <w:sz w:val="32"/>
          <w:szCs w:val="32"/>
        </w:rPr>
        <w:t>万元，占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</w:t>
      </w:r>
      <w:r>
        <w:rPr>
          <w:rFonts w:ascii="仿宋" w:hAnsi="仿宋" w:eastAsia="仿宋" w:cs="仿宋"/>
          <w:sz w:val="32"/>
          <w:szCs w:val="32"/>
        </w:rPr>
        <w:t>%。</w:t>
      </w:r>
    </w:p>
    <w:p>
      <w:pPr>
        <w:pStyle w:val="4"/>
        <w:ind w:firstLine="321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</w:rPr>
        <w:t>（二）一般公共预算财政拨款支出决算构成情况</w:t>
      </w:r>
    </w:p>
    <w:p>
      <w:pPr>
        <w:pStyle w:val="4"/>
        <w:jc w:val="left"/>
      </w:pPr>
      <w:r>
        <w:rPr>
          <w:rFonts w:ascii="仿宋" w:hAnsi="仿宋" w:eastAsia="仿宋" w:cs="仿宋"/>
          <w:sz w:val="32"/>
          <w:szCs w:val="32"/>
        </w:rPr>
        <w:t xml:space="preserve">   201（类）支出</w:t>
      </w:r>
      <w:r>
        <w:rPr>
          <w:rFonts w:hint="eastAsia" w:eastAsia="仿宋_GB2312;仿宋" w:cs="Times New Roman"/>
          <w:color w:val="333333"/>
          <w:kern w:val="0"/>
          <w:sz w:val="32"/>
          <w:szCs w:val="32"/>
          <w:lang w:val="en-US" w:eastAsia="zh-CN" w:bidi="ar-SA"/>
        </w:rPr>
        <w:t>163.394</w:t>
      </w:r>
      <w:r>
        <w:rPr>
          <w:rFonts w:ascii="仿宋" w:hAnsi="仿宋" w:eastAsia="仿宋" w:cs="仿宋"/>
          <w:sz w:val="32"/>
          <w:szCs w:val="32"/>
        </w:rPr>
        <w:t>万元，占100%。</w:t>
      </w:r>
    </w:p>
    <w:p>
      <w:pPr>
        <w:pStyle w:val="4"/>
        <w:ind w:firstLine="640"/>
        <w:jc w:val="left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ascii="仿宋" w:hAnsi="仿宋" w:eastAsia="仿宋" w:cs="仿宋"/>
          <w:sz w:val="32"/>
          <w:szCs w:val="32"/>
        </w:rPr>
        <w:t>年度一般公共预算财政拨款基本支出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85.394</w:t>
      </w:r>
      <w:r>
        <w:rPr>
          <w:rFonts w:ascii="仿宋" w:hAnsi="仿宋" w:eastAsia="仿宋" w:cs="仿宋"/>
          <w:sz w:val="32"/>
          <w:szCs w:val="32"/>
        </w:rPr>
        <w:t>万元，其中人员经费支出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79.394</w:t>
      </w:r>
      <w:r>
        <w:rPr>
          <w:rFonts w:ascii="仿宋" w:hAnsi="仿宋" w:eastAsia="仿宋" w:cs="仿宋"/>
          <w:sz w:val="32"/>
          <w:szCs w:val="32"/>
        </w:rPr>
        <w:t>万元，公用经费支出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ascii="仿宋" w:hAnsi="仿宋" w:eastAsia="仿宋" w:cs="仿宋"/>
          <w:sz w:val="32"/>
          <w:szCs w:val="32"/>
        </w:rPr>
        <w:t>万元。主要包括：办公费、印刷费。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基本支出主要用于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维持办机关基本运转而发生的各项支出，包括用于基本工资、津贴补贴、社会保障缴费、聘请人员工资等人员性经费和办公费、印刷费、差旅费、公务接待、公务车运行等日常公用经费等支出。</w:t>
      </w:r>
    </w:p>
    <w:p>
      <w:pPr>
        <w:pStyle w:val="4"/>
        <w:ind w:firstLine="640"/>
        <w:jc w:val="left"/>
      </w:pPr>
      <w:r>
        <w:rPr>
          <w:rFonts w:ascii="楷体" w:hAnsi="楷体" w:eastAsia="楷体" w:cs="楷体"/>
          <w:sz w:val="32"/>
          <w:szCs w:val="32"/>
        </w:rPr>
        <w:t>（</w:t>
      </w:r>
      <w:r>
        <w:rPr>
          <w:rFonts w:ascii="楷体" w:hAnsi="楷体" w:eastAsia="楷体" w:cs="楷体"/>
          <w:sz w:val="32"/>
          <w:szCs w:val="32"/>
          <w:lang w:eastAsia="zh-CN"/>
        </w:rPr>
        <w:t>三</w:t>
      </w:r>
      <w:r>
        <w:rPr>
          <w:rFonts w:ascii="楷体" w:hAnsi="楷体" w:eastAsia="楷体" w:cs="楷体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2022</w:t>
      </w:r>
      <w:r>
        <w:rPr>
          <w:rFonts w:ascii="仿宋" w:hAnsi="仿宋" w:eastAsia="仿宋" w:cs="仿宋"/>
          <w:sz w:val="32"/>
          <w:szCs w:val="32"/>
        </w:rPr>
        <w:t>年“三公”经费决算为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0.426</w:t>
      </w:r>
      <w:r>
        <w:rPr>
          <w:rFonts w:ascii="仿宋" w:hAnsi="仿宋" w:eastAsia="仿宋" w:cs="仿宋"/>
          <w:sz w:val="32"/>
          <w:szCs w:val="32"/>
        </w:rPr>
        <w:t>万元，其中：公务接待费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0.426</w:t>
      </w:r>
      <w:r>
        <w:rPr>
          <w:rFonts w:ascii="仿宋" w:hAnsi="仿宋" w:eastAsia="仿宋" w:cs="仿宋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4"/>
        <w:ind w:firstLine="480"/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  <w:lang w:val="en-US" w:eastAsia="zh-CN" w:bidi="ar-SA"/>
        </w:rPr>
      </w:pPr>
      <w:r>
        <w:rPr>
          <w:rFonts w:ascii="楷体_GB2312;楷体" w:hAnsi="楷体_GB2312;楷体" w:eastAsia="楷体_GB2312;楷体" w:cs="宋体"/>
          <w:b/>
          <w:bCs/>
          <w:color w:val="333333"/>
          <w:kern w:val="0"/>
          <w:sz w:val="32"/>
          <w:szCs w:val="32"/>
          <w:lang w:val="en-US" w:eastAsia="zh-CN" w:bidi="ar-SA"/>
        </w:rPr>
        <w:t>（四）项目支出情况</w:t>
      </w:r>
    </w:p>
    <w:p>
      <w:pPr>
        <w:pStyle w:val="4"/>
        <w:ind w:firstLine="600"/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年一般公共预算财政拨款项目支出总计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78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万元，其中：法律援助专项支出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78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万元。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三、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部门整体支出管理情况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总的来说，我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财务管理较为严格，建立了《机关财务管理制度》，并严格按照市财政局制定的公务接待、差旅费、培训费、会议费等相关管理办法，规范了公务支出管理。严格履行财务审批手续，做到了无计划安排不报账，无领导审批不报账，无经手人签字不报账，不符合财务规定的发票、票据不报账。经费的开支管理及费用报销均严格执行相关制度规定，坚持勤俭节约，确保资金的规范使用与安全。对项目资金的实施、资金投向及调度安排、固定资产购置及交付使用进行跟踪管理，确保项目资金专款专用。对于批量及单价在规定金额以上的物品采购，均实行政府采购制度。年度计划、重大支出等重大事项均经过党组会议集体讨论决定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四、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部门整体支出</w:t>
      </w:r>
      <w:r>
        <w:rPr>
          <w:color w:val="333333"/>
          <w:kern w:val="0"/>
          <w:sz w:val="32"/>
          <w:szCs w:val="32"/>
        </w:rPr>
        <w:t>绩效情况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</w:pP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根据市财政局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要求，我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以绩效评估为契机，认真对照评估指标，按照年度工作计划扎实推进</w:t>
      </w:r>
      <w:r>
        <w:rPr>
          <w:rFonts w:hint="eastAsia"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年度财政支出绩效自评工作。总的来说，</w:t>
      </w:r>
      <w:r>
        <w:rPr>
          <w:rFonts w:hint="eastAsia"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年我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  <w:lang w:eastAsia="zh-CN"/>
        </w:rPr>
        <w:t>中心</w:t>
      </w:r>
      <w:r>
        <w:rPr>
          <w:rFonts w:ascii="仿宋_GB2312;仿宋" w:hAnsi="仿宋_GB2312;仿宋" w:eastAsia="仿宋_GB2312;仿宋" w:cs="宋体"/>
          <w:color w:val="000000"/>
          <w:kern w:val="0"/>
          <w:sz w:val="32"/>
          <w:szCs w:val="32"/>
        </w:rPr>
        <w:t>全体干部职工积极履职、扎实工作，较好完成了全年工作目标。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截止</w:t>
      </w:r>
      <w:r>
        <w:rPr>
          <w:rFonts w:hint="eastAsia" w:ascii="仿宋" w:hAnsi="仿宋" w:eastAsia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年12月，沅江市法律援助中心共办理法律援助案件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878</w:t>
      </w:r>
      <w:r>
        <w:rPr>
          <w:rFonts w:hint="eastAsia" w:ascii="仿宋" w:hAnsi="仿宋" w:eastAsia="仿宋"/>
          <w:sz w:val="32"/>
          <w:szCs w:val="32"/>
        </w:rPr>
        <w:t>件，其中民事案件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270</w:t>
      </w:r>
      <w:r>
        <w:rPr>
          <w:rFonts w:hint="eastAsia" w:ascii="仿宋" w:hAnsi="仿宋" w:eastAsia="仿宋"/>
          <w:sz w:val="32"/>
          <w:szCs w:val="32"/>
        </w:rPr>
        <w:t>件，刑事诉讼案件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/>
          <w:sz w:val="32"/>
          <w:szCs w:val="32"/>
        </w:rPr>
        <w:t>件，刑事认罪认罚法律帮助案件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403</w:t>
      </w:r>
      <w:r>
        <w:rPr>
          <w:rFonts w:hint="eastAsia" w:ascii="仿宋" w:hAnsi="仿宋" w:eastAsia="仿宋"/>
          <w:sz w:val="32"/>
          <w:szCs w:val="32"/>
        </w:rPr>
        <w:t>件，行政案件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件，涉及受援人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878</w:t>
      </w:r>
      <w:r>
        <w:rPr>
          <w:rFonts w:hint="eastAsia" w:ascii="仿宋" w:hAnsi="仿宋" w:eastAsia="仿宋"/>
          <w:sz w:val="32"/>
          <w:szCs w:val="32"/>
        </w:rPr>
        <w:t>人次;接待来电、来访法律咨询1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50余人次。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法律援助中心紧密结合沅江市法治宣传活动，开展法律援助宣传。</w:t>
      </w:r>
      <w:r>
        <w:rPr>
          <w:rFonts w:hint="eastAsia" w:ascii="仿宋" w:hAnsi="仿宋" w:eastAsia="仿宋"/>
          <w:sz w:val="32"/>
          <w:szCs w:val="32"/>
          <w:lang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参加沅江市委依治办及沅江市司法局的普法宣传活动，在市区主要路段举办的民法总则宣传活动，针对农民工、下岗工人、残疾人等散发法律援助宣传单和便民联系卡10000余份，面对面宣讲法律援助基本知识300余人次。借助宣传车、电视、法治宣传平台、公共法律服务站点、如法网等现代信息平台和传播工具，广泛开展法律援助宣传，大大扩大了法律援助社会影响力和覆盖面。法援中心着力为农民工、残疾人、老年人、未成年人、妇女、军人军属等特殊群体提供法律援助服务。今年来沅江市法律援助中心共办理的各类案件中涉及农民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/>
          <w:sz w:val="32"/>
          <w:szCs w:val="32"/>
        </w:rPr>
        <w:t>人、残疾人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人、老年人80人、未成年人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/>
          <w:sz w:val="32"/>
          <w:szCs w:val="32"/>
        </w:rPr>
        <w:t>人、妇女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123</w:t>
      </w:r>
      <w:r>
        <w:rPr>
          <w:rFonts w:hint="eastAsia" w:ascii="仿宋" w:hAnsi="仿宋" w:eastAsia="仿宋"/>
          <w:sz w:val="32"/>
          <w:szCs w:val="32"/>
        </w:rPr>
        <w:t>人、退役军人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人、少数民族2人。特别是在“法援惠民生 扶贫奔小康”活动中，沅江市法律援助中心针对农村留守儿童、空巢老人、残疾人、妇女、农民工、特困户等重点对象采取上门服务、电话服务、网络服务、微信服务等手段，详细解答各类法律问题，得到了广大人民群众的高度评价。在落实重点民生实事项目上取得了明显实效，切实反映了人民群众的获得感和满意度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黑体" w:hAnsi="黑体" w:eastAsia="黑体" w:cs="宋体"/>
          <w:color w:val="333333"/>
          <w:kern w:val="0"/>
          <w:sz w:val="32"/>
          <w:szCs w:val="32"/>
        </w:rPr>
        <w:t>五、存在的主要问题</w:t>
      </w:r>
    </w:p>
    <w:p>
      <w:pPr>
        <w:pStyle w:val="4"/>
        <w:widowControl/>
        <w:spacing w:line="360" w:lineRule="atLeast"/>
        <w:ind w:firstLine="64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年，沅江市法律援助中心共办理法律援助案件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756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件，按《湖南省法律援助经费使用管理办法》的要求，刑事诉讼案件：1、侦查阶段，每件800-1500元；2、起诉阶段，每件800-1800元；3、审判阶段，每件1500-3200元；4、死刑复核阶段，每件1500-3000元；民事、行政诉讼案件及仲裁（含劳动争议仲裁）案件，每件1500-5000元。现阶段我中心一直是按文件要求的最低标准发放补贴，其他县市区都已将补贴标准提高至1800元-2000元/件；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年仅法律援助办案补贴按最低标准就需要支付近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万余元，其中还不包括律师值班费及</w:t>
      </w:r>
      <w:r>
        <w:rPr>
          <w:rFonts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培训和宣传经费等必要的开支，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但我们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年的专项经费仅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63.513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万元，这对于我们来说远远不够更不要说将补贴的标准提高了。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宋体" w:hAnsi="宋体" w:cs="宋体"/>
          <w:color w:val="333333"/>
          <w:kern w:val="0"/>
          <w:szCs w:val="21"/>
        </w:rPr>
      </w:pPr>
      <w:r>
        <w:rPr>
          <w:rFonts w:ascii="黑体" w:hAnsi="黑体" w:eastAsia="黑体" w:cs="宋体"/>
          <w:color w:val="333333"/>
          <w:kern w:val="0"/>
          <w:sz w:val="32"/>
          <w:szCs w:val="32"/>
        </w:rPr>
        <w:t>七</w:t>
      </w:r>
      <w:r>
        <w:rPr>
          <w:color w:val="333333"/>
          <w:kern w:val="0"/>
          <w:sz w:val="32"/>
          <w:szCs w:val="32"/>
        </w:rPr>
        <w:t>、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改进措施和有关建议</w:t>
      </w:r>
    </w:p>
    <w:p>
      <w:pPr>
        <w:pStyle w:val="4"/>
        <w:widowControl/>
        <w:shd w:val="clear" w:fill="FFFFFF"/>
        <w:spacing w:line="600" w:lineRule="atLeas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法律援助工作是一项惠民工程，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建议加大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法律援助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工作的经费支持力度，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我们也将继续大力推进法律援助工作，深入广泛宣传法律援助，热情为弱势群体服务，做到应援尽援，为促进社会稳定和发展作出积极贡献。</w:t>
      </w:r>
    </w:p>
    <w:p>
      <w:pPr>
        <w:pStyle w:val="4"/>
        <w:widowControl/>
        <w:shd w:val="clear" w:fill="FFFFFF"/>
        <w:spacing w:line="600" w:lineRule="atLeast"/>
        <w:ind w:firstLine="640"/>
        <w:jc w:val="right"/>
        <w:rPr>
          <w:rFonts w:ascii="宋体" w:hAnsi="宋体" w:cs="宋体"/>
          <w:color w:val="333333"/>
          <w:kern w:val="0"/>
          <w:szCs w:val="21"/>
        </w:rPr>
      </w:pPr>
      <w:r>
        <w:rPr>
          <w:color w:val="333333"/>
          <w:kern w:val="0"/>
          <w:sz w:val="32"/>
          <w:szCs w:val="32"/>
        </w:rPr>
        <w:t> </w:t>
      </w:r>
    </w:p>
    <w:p>
      <w:pPr>
        <w:pStyle w:val="4"/>
        <w:widowControl/>
        <w:shd w:val="clear" w:fill="FFFFFF"/>
        <w:spacing w:line="600" w:lineRule="atLeast"/>
        <w:ind w:firstLine="640"/>
        <w:jc w:val="center"/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 xml:space="preserve">                     </w:t>
      </w:r>
    </w:p>
    <w:p>
      <w:pPr>
        <w:pStyle w:val="4"/>
        <w:widowControl/>
        <w:shd w:val="clear" w:fill="FFFFFF"/>
        <w:spacing w:line="600" w:lineRule="atLeast"/>
        <w:ind w:firstLine="640"/>
        <w:jc w:val="center"/>
        <w:rPr>
          <w:rFonts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ascii="仿宋_GB2312;仿宋" w:hAnsi="仿宋_GB2312;仿宋" w:eastAsia="仿宋_GB2312;仿宋" w:cs="仿宋_GB2312;仿宋"/>
          <w:color w:val="333333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  <w:lang w:eastAsia="zh-CN"/>
        </w:rPr>
        <w:t>沅江市法律援助中心</w:t>
      </w:r>
    </w:p>
    <w:p>
      <w:pPr>
        <w:pStyle w:val="4"/>
        <w:widowControl/>
        <w:shd w:val="clear" w:fill="FFFFFF"/>
        <w:spacing w:line="600" w:lineRule="atLeast"/>
        <w:ind w:right="640" w:firstLine="640"/>
        <w:jc w:val="center"/>
      </w:pP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                         </w:t>
      </w:r>
      <w:r>
        <w:rPr>
          <w:rFonts w:hint="eastAsia"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/>
        </w:rPr>
        <w:t xml:space="preserve">      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  </w:t>
      </w:r>
      <w:r>
        <w:rPr>
          <w:rFonts w:hint="eastAsia" w:ascii="仿宋_GB2312;仿宋" w:hAnsi="仿宋_GB2312;仿宋" w:eastAsia="仿宋_GB2312;仿宋" w:cs="宋体"/>
          <w:color w:val="333333"/>
          <w:kern w:val="0"/>
          <w:sz w:val="32"/>
          <w:szCs w:val="32"/>
          <w:lang w:val="en-US" w:eastAsia="zh-CN" w:bidi="ar-SA"/>
        </w:rPr>
        <w:t>2023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年</w:t>
      </w:r>
      <w:r>
        <w:rPr>
          <w:rFonts w:hint="eastAsia" w:eastAsia="仿宋_GB2312;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月</w:t>
      </w:r>
      <w:r>
        <w:rPr>
          <w:rFonts w:hint="eastAsia" w:eastAsia="仿宋_GB2312;仿宋" w:cs="Times New Roman"/>
          <w:color w:val="333333"/>
          <w:kern w:val="0"/>
          <w:sz w:val="32"/>
          <w:szCs w:val="32"/>
          <w:lang w:val="en-US" w:eastAsia="zh-CN" w:bidi="ar-SA"/>
        </w:rPr>
        <w:t>10</w:t>
      </w:r>
      <w:r>
        <w:rPr>
          <w:rFonts w:ascii="仿宋_GB2312;仿宋" w:hAnsi="仿宋_GB2312;仿宋" w:eastAsia="仿宋_GB2312;仿宋" w:cs="宋体"/>
          <w:color w:val="333333"/>
          <w:kern w:val="0"/>
          <w:sz w:val="32"/>
          <w:szCs w:val="32"/>
        </w:rPr>
        <w:t>日</w:t>
      </w:r>
    </w:p>
    <w:p>
      <w:pPr>
        <w:pStyle w:val="4"/>
        <w:rPr>
          <w:rFonts w:ascii="宋体" w:hAnsi="宋体" w:cs="宋体"/>
          <w:color w:val="333333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0" w:footer="992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;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;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325" cy="114935"/>
              <wp:effectExtent l="0" t="0" r="0" b="0"/>
              <wp:wrapNone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60" cy="114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PAGE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6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框架1" o:spid="_x0000_s1026" o:spt="1" style="position:absolute;left:0pt;margin-top:0.05pt;height:9.05pt;width:4.75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zN3k9MAAAACAQAADwAAAAAAAAABACAAAAAiAAAAZHJzL2Rvd25yZXYueG1sUEsBAhQAFAAAAAgA&#10;h07iQPkcjm64AQAAfgMAAA4AAAAAAAAAAQAgAAAAIgEAAGRycy9lMm9Eb2MueG1sUEsFBgAAAAAG&#10;AAYAWQEAAEwFAAAAAA==&#10;">
              <v:fill on="f" focussize="0,0"/>
              <v:stroke on="f" weight="0pt"/>
              <v:imagedata o:title=""/>
              <o:lock v:ext="edit" aspectratio="f"/>
              <v:textbox inset="0.02mm,0.02mm,0.02mm,0.02mm" style="mso-fit-shape-to-text:t;">
                <w:txbxContent>
                  <w:p>
                    <w:pPr>
                      <w:pStyle w:val="6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PAGE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6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20"/>
  <w:autoHyphenation/>
  <w:compat>
    <w:noLeading/>
    <w:balanceSingleByteDoubleByteWidth/>
    <w:doNotExpandShiftReturn/>
    <w:useFELayout/>
    <w:compatSetting w:name="compatibilityMode" w:uri="http://schemas.microsoft.com/office/word" w:val="14"/>
  </w:compat>
  <w:docVars>
    <w:docVar w:name="commondata" w:val="eyJoZGlkIjoiZTMzNjVlZGFiZWM0ZTkwMDA3YTJlZmJkZTg4MjgzMjEifQ=="/>
  </w:docVars>
  <w:rsids>
    <w:rsidRoot w:val="00000000"/>
    <w:rsid w:val="0E0277B1"/>
    <w:rsid w:val="116179B8"/>
    <w:rsid w:val="24031576"/>
    <w:rsid w:val="29874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4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普通(网站)1"/>
    <w:basedOn w:val="4"/>
    <w:qFormat/>
    <w:uiPriority w:val="0"/>
    <w:pPr>
      <w:widowControl/>
      <w:spacing w:before="280" w:after="280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页脚1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2240</Words>
  <Characters>2499</Characters>
  <Paragraphs>65</Paragraphs>
  <TotalTime>13</TotalTime>
  <ScaleCrop>false</ScaleCrop>
  <LinksUpToDate>false</LinksUpToDate>
  <CharactersWithSpaces>2607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2017-08-17T16:27:00Z</dcterms:created>
  <dc:creator>User</dc:creator>
  <cp:lastModifiedBy>孙泽宇</cp:lastModifiedBy>
  <cp:lastPrinted>2023-04-10T06:34:00Z</cp:lastPrinted>
  <dcterms:modified xsi:type="dcterms:W3CDTF">2023-11-09T02:24:52Z</dcterms:modified>
  <dc:title>2016年度市政府金融办整体支出绩效评价报告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608ECA9A26A04C5581AAB0AF0EE10380_13</vt:lpwstr>
  </property>
</Properties>
</file>