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ascii="方正小标宋简体" w:hAnsi="楷体" w:eastAsia="方正小标宋简体" w:cs="宋体"/>
          <w:color w:val="000000"/>
          <w:spacing w:val="-20"/>
          <w:kern w:val="0"/>
          <w:sz w:val="44"/>
          <w:szCs w:val="44"/>
        </w:rPr>
      </w:pPr>
      <w:bookmarkStart w:id="0" w:name="_GoBack"/>
      <w:bookmarkEnd w:id="0"/>
      <w:r>
        <w:rPr>
          <w:rFonts w:hint="eastAsia" w:ascii="方正小标宋简体" w:hAnsi="楷体" w:eastAsia="方正小标宋简体" w:cs="宋体"/>
          <w:color w:val="000000"/>
          <w:spacing w:val="-20"/>
          <w:kern w:val="0"/>
          <w:sz w:val="44"/>
          <w:szCs w:val="44"/>
          <w:shd w:val="clear" w:color="auto" w:fill="FFFFFF"/>
        </w:rPr>
        <w:t>沅江市妇联20</w:t>
      </w:r>
      <w:r>
        <w:rPr>
          <w:rFonts w:hint="eastAsia" w:ascii="方正小标宋简体" w:hAnsi="楷体" w:eastAsia="方正小标宋简体" w:cs="宋体"/>
          <w:color w:val="000000"/>
          <w:spacing w:val="-20"/>
          <w:kern w:val="0"/>
          <w:sz w:val="44"/>
          <w:szCs w:val="44"/>
          <w:shd w:val="clear" w:color="auto" w:fill="FFFFFF"/>
          <w:lang w:val="en-US" w:eastAsia="zh-CN"/>
        </w:rPr>
        <w:t>22</w:t>
      </w:r>
      <w:r>
        <w:rPr>
          <w:rFonts w:hint="eastAsia" w:ascii="方正小标宋简体" w:hAnsi="楷体" w:eastAsia="方正小标宋简体" w:cs="宋体"/>
          <w:color w:val="000000"/>
          <w:spacing w:val="-20"/>
          <w:kern w:val="0"/>
          <w:sz w:val="44"/>
          <w:szCs w:val="44"/>
          <w:shd w:val="clear" w:color="auto" w:fill="FFFFFF"/>
        </w:rPr>
        <w:t>年度整体支出绩效评价报告</w:t>
      </w:r>
    </w:p>
    <w:p>
      <w:pPr>
        <w:widowControl/>
        <w:shd w:val="clear" w:color="auto" w:fill="FFFFFF"/>
        <w:spacing w:line="560" w:lineRule="exact"/>
        <w:ind w:firstLine="640" w:firstLineChars="200"/>
        <w:contextualSpacing/>
        <w:rPr>
          <w:rFonts w:ascii="黑体" w:hAnsi="黑体" w:eastAsia="黑体" w:cs="宋体"/>
          <w:color w:val="000000"/>
          <w:kern w:val="0"/>
          <w:sz w:val="32"/>
          <w:szCs w:val="32"/>
          <w:shd w:val="clear" w:color="auto" w:fill="FFFFFF"/>
        </w:rPr>
      </w:pPr>
    </w:p>
    <w:p>
      <w:pPr>
        <w:widowControl/>
        <w:shd w:val="clear" w:color="auto" w:fill="FFFFFF"/>
        <w:spacing w:line="600" w:lineRule="exact"/>
        <w:ind w:firstLine="640" w:firstLineChars="200"/>
        <w:contextualSpacing/>
        <w:rPr>
          <w:rFonts w:ascii="楷体" w:hAnsi="楷体" w:eastAsia="楷体" w:cs="宋体"/>
          <w:color w:val="000000"/>
          <w:kern w:val="0"/>
          <w:sz w:val="32"/>
          <w:szCs w:val="32"/>
        </w:rPr>
      </w:pPr>
      <w:r>
        <w:rPr>
          <w:rFonts w:hint="eastAsia" w:ascii="黑体" w:hAnsi="黑体" w:eastAsia="黑体" w:cs="宋体"/>
          <w:color w:val="000000"/>
          <w:kern w:val="0"/>
          <w:sz w:val="32"/>
          <w:szCs w:val="32"/>
          <w:shd w:val="clear" w:color="auto" w:fill="FFFFFF"/>
        </w:rPr>
        <w:t>一、单位基本概况</w:t>
      </w:r>
    </w:p>
    <w:p>
      <w:pPr>
        <w:kinsoku w:val="0"/>
        <w:autoSpaceDE w:val="0"/>
        <w:autoSpaceDN w:val="0"/>
        <w:snapToGrid w:val="0"/>
        <w:spacing w:line="600" w:lineRule="exact"/>
        <w:ind w:firstLine="643" w:firstLineChars="200"/>
        <w:rPr>
          <w:rFonts w:ascii="仿宋_GB2312" w:hAnsi="仿宋" w:eastAsia="仿宋_GB2312"/>
          <w:sz w:val="32"/>
          <w:szCs w:val="32"/>
        </w:rPr>
      </w:pPr>
      <w:r>
        <w:rPr>
          <w:rFonts w:hint="eastAsia" w:ascii="楷体_GB2312" w:hAnsi="仿宋_GB2312" w:eastAsia="楷体_GB2312" w:cs="仿宋_GB2312"/>
          <w:b/>
          <w:sz w:val="32"/>
          <w:szCs w:val="32"/>
        </w:rPr>
        <w:t>（一）机构设置与人员情况：</w:t>
      </w:r>
    </w:p>
    <w:p>
      <w:pPr>
        <w:spacing w:line="600" w:lineRule="exact"/>
        <w:ind w:firstLine="640" w:firstLineChars="200"/>
        <w:rPr>
          <w:rFonts w:hint="eastAsia" w:ascii="仿宋" w:hAnsi="仿宋" w:eastAsia="仿宋" w:cs="仿宋"/>
          <w:color w:val="000000"/>
          <w:kern w:val="0"/>
          <w:sz w:val="32"/>
          <w:szCs w:val="32"/>
          <w:lang w:eastAsia="zh-CN"/>
        </w:rPr>
      </w:pPr>
      <w:r>
        <w:rPr>
          <w:rFonts w:hint="eastAsia" w:ascii="仿宋_GB2312" w:hAnsi="方正仿宋简体" w:eastAsia="仿宋_GB2312" w:cs="方正仿宋简体"/>
          <w:sz w:val="32"/>
          <w:szCs w:val="32"/>
        </w:rPr>
        <w:t>1.</w:t>
      </w:r>
      <w:r>
        <w:rPr>
          <w:rFonts w:hint="eastAsia" w:ascii="仿宋" w:hAnsi="仿宋" w:eastAsia="仿宋" w:cs="仿宋"/>
          <w:color w:val="000000"/>
          <w:kern w:val="0"/>
          <w:sz w:val="32"/>
          <w:szCs w:val="32"/>
        </w:rPr>
        <w:t>根据编委核定，我局内设股室</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个，</w:t>
      </w:r>
      <w:r>
        <w:rPr>
          <w:rFonts w:hint="eastAsia" w:ascii="仿宋" w:hAnsi="仿宋" w:eastAsia="仿宋" w:cs="仿宋"/>
          <w:color w:val="000000"/>
          <w:kern w:val="0"/>
          <w:sz w:val="32"/>
          <w:szCs w:val="32"/>
          <w:lang w:eastAsia="zh-CN"/>
        </w:rPr>
        <w:t>即办公室（组织宣传部）、妇女发展部（权益部）、家庭和儿童工作部。</w:t>
      </w:r>
    </w:p>
    <w:p>
      <w:pPr>
        <w:spacing w:line="600" w:lineRule="exact"/>
        <w:ind w:firstLine="640" w:firstLineChars="200"/>
        <w:rPr>
          <w:rFonts w:ascii="仿宋_GB2312" w:hAnsi="方正仿宋简体" w:eastAsia="仿宋_GB2312" w:cs="方正仿宋简体"/>
          <w:sz w:val="32"/>
          <w:szCs w:val="32"/>
        </w:rPr>
      </w:pPr>
      <w:r>
        <w:rPr>
          <w:rFonts w:hint="eastAsia" w:ascii="仿宋_GB2312" w:hAnsi="方正仿宋简体" w:eastAsia="仿宋_GB2312" w:cs="方正仿宋简体"/>
          <w:sz w:val="32"/>
          <w:szCs w:val="32"/>
        </w:rPr>
        <w:t>2.</w:t>
      </w:r>
      <w:r>
        <w:rPr>
          <w:rFonts w:hint="eastAsia" w:ascii="仿宋" w:hAnsi="仿宋" w:eastAsia="仿宋" w:cs="仿宋"/>
          <w:color w:val="000000"/>
          <w:kern w:val="0"/>
          <w:sz w:val="32"/>
          <w:szCs w:val="32"/>
        </w:rPr>
        <w:t>根据编委核定</w:t>
      </w:r>
      <w:r>
        <w:rPr>
          <w:rFonts w:hint="eastAsia" w:ascii="仿宋" w:hAnsi="仿宋" w:eastAsia="仿宋" w:cs="仿宋"/>
          <w:sz w:val="32"/>
          <w:szCs w:val="32"/>
        </w:rPr>
        <w:t>，</w:t>
      </w:r>
      <w:r>
        <w:rPr>
          <w:rFonts w:hint="eastAsia" w:ascii="仿宋" w:hAnsi="仿宋" w:eastAsia="仿宋" w:cs="仿宋"/>
          <w:sz w:val="32"/>
          <w:szCs w:val="32"/>
          <w:lang w:val="en-US" w:eastAsia="zh-CN"/>
        </w:rPr>
        <w:t>我会</w:t>
      </w:r>
      <w:r>
        <w:rPr>
          <w:rFonts w:hint="eastAsia" w:ascii="仿宋" w:hAnsi="仿宋" w:eastAsia="仿宋" w:cs="仿宋"/>
          <w:sz w:val="32"/>
          <w:szCs w:val="32"/>
        </w:rPr>
        <w:t>设主席1名、副主席2名。正股级职数3名(含兼职）</w:t>
      </w:r>
      <w:r>
        <w:rPr>
          <w:rFonts w:hint="eastAsia" w:ascii="仿宋" w:hAnsi="仿宋" w:eastAsia="仿宋" w:cs="仿宋"/>
          <w:sz w:val="32"/>
          <w:szCs w:val="32"/>
          <w:lang w:val="en-US" w:eastAsia="zh-CN"/>
        </w:rPr>
        <w:t>。2022年底</w:t>
      </w:r>
      <w:r>
        <w:rPr>
          <w:rFonts w:hint="eastAsia" w:ascii="仿宋" w:hAnsi="仿宋" w:eastAsia="仿宋" w:cs="仿宋"/>
          <w:sz w:val="32"/>
          <w:szCs w:val="32"/>
        </w:rPr>
        <w:t>有在职全额行政干部</w:t>
      </w:r>
      <w:r>
        <w:rPr>
          <w:rFonts w:hint="eastAsia" w:ascii="仿宋" w:hAnsi="仿宋" w:eastAsia="仿宋" w:cs="仿宋"/>
          <w:sz w:val="32"/>
          <w:szCs w:val="32"/>
          <w:lang w:val="en-US" w:eastAsia="zh-CN"/>
        </w:rPr>
        <w:t>6</w:t>
      </w:r>
      <w:r>
        <w:rPr>
          <w:rFonts w:hint="eastAsia" w:ascii="仿宋" w:hAnsi="仿宋" w:eastAsia="仿宋" w:cs="仿宋"/>
          <w:sz w:val="32"/>
          <w:szCs w:val="32"/>
        </w:rPr>
        <w:t>人，退休干部2人。</w:t>
      </w:r>
    </w:p>
    <w:p>
      <w:pPr>
        <w:kinsoku w:val="0"/>
        <w:autoSpaceDE w:val="0"/>
        <w:autoSpaceDN w:val="0"/>
        <w:snapToGrid w:val="0"/>
        <w:spacing w:line="60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（二）单位主要职能：</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组织引导妇女学习贯彻习近平新时代中国特色社会主义思想和党的路线方针政策，用中国特色社会主义共同理想凝聚妇女。‍‍</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指导全市各级妇联依据《中华全国妇女联合会章程》和妇女代表大会的决定、决议，开展妇女儿童工作，联系团体会员，并给予业务指导。</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协调并争取支持妇女发展的政策措施，参与扶贫，帮助妇女脱贫致富，开展技能培训，加大妇女创业创新服务平台建设，促进妇女创业就业，指导和推动全市农村妇女“双学双比”活动、城镇妇女“巾帼建功”活动。</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团结动员妇女投身改革开放和社会主义经济建设、政治建设、文化建设、社会建设和生态文明建设，注重发挥妇女在社会生活和家庭生活中的独特作用，为中国特色社会主义伟大实践作贡献。</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维护妇女儿童合法权益，调查研究妇女、儿童问题，为市委、市政府决策提供依据，提出建议。动员妇女参与国家和社会事务的民主管理、民主监督，促进妇女参政议政和参与有关妇女儿童的政策文件的制定。推动保障妇女权益法律政策和妇女、儿童发展纲要的实施。</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教育引导妇女树立自尊、自信、自立、自强的精神，提高综合素质，实现全面发展。宣传马克思主义妇女观，推动落实男女平等基本国策，营造有利于妇女全面发展的社会环境。宣传表彰优秀妇女典型，培养、推荐女性人才。</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教育引导妇女践行社会主义核心价值观，弘扬中华优秀文化，开展“最美家庭”“文明家庭”“绿色家庭”“书香家庭”等创建活动，支持服务家庭教育，传承中华民族家庭美德，树立良好家风，推动形成家庭文明新风尚。</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加强城乡基层妇女组织建设，扩大组织网络，拓宽工作领域。联系和引导女性社会组织，加强与社会各界的协作，推动全社会为妇女儿童和家庭服务。</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完成市委、市政府交办的其他任务。</w:t>
      </w:r>
    </w:p>
    <w:p>
      <w:pPr>
        <w:spacing w:line="600" w:lineRule="exact"/>
        <w:ind w:firstLine="643" w:firstLineChars="200"/>
        <w:contextualSpacing/>
        <w:rPr>
          <w:rFonts w:ascii="黑体" w:eastAsia="黑体"/>
          <w:b/>
          <w:bCs/>
          <w:sz w:val="32"/>
          <w:szCs w:val="32"/>
        </w:rPr>
      </w:pPr>
      <w:r>
        <w:rPr>
          <w:rFonts w:hint="eastAsia" w:ascii="黑体" w:eastAsia="黑体"/>
          <w:b/>
          <w:bCs/>
          <w:sz w:val="32"/>
          <w:szCs w:val="32"/>
        </w:rPr>
        <w:t>二、部门整体支出使用情况</w:t>
      </w:r>
    </w:p>
    <w:p>
      <w:pPr>
        <w:kinsoku w:val="0"/>
        <w:autoSpaceDE w:val="0"/>
        <w:autoSpaceDN w:val="0"/>
        <w:snapToGrid w:val="0"/>
        <w:spacing w:line="60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（一）基本支出</w:t>
      </w:r>
    </w:p>
    <w:p>
      <w:pPr>
        <w:widowControl/>
        <w:shd w:val="clear" w:color="auto" w:fill="FFFFFF"/>
        <w:spacing w:line="560" w:lineRule="atLeas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2022年</w:t>
      </w:r>
      <w:r>
        <w:rPr>
          <w:rFonts w:hint="eastAsia" w:ascii="仿宋" w:hAnsi="仿宋" w:eastAsia="仿宋" w:cs="宋体"/>
          <w:color w:val="000000"/>
          <w:kern w:val="0"/>
          <w:sz w:val="32"/>
          <w:szCs w:val="32"/>
        </w:rPr>
        <w:t>基本支出</w:t>
      </w:r>
      <w:r>
        <w:rPr>
          <w:rFonts w:hint="eastAsia" w:ascii="仿宋" w:hAnsi="仿宋" w:eastAsia="仿宋" w:cs="仿宋"/>
          <w:sz w:val="32"/>
          <w:szCs w:val="32"/>
          <w:lang w:val="en-US" w:eastAsia="zh-CN"/>
        </w:rPr>
        <w:t>57.79</w:t>
      </w:r>
      <w:r>
        <w:rPr>
          <w:rFonts w:hint="eastAsia" w:ascii="仿宋" w:hAnsi="仿宋" w:eastAsia="仿宋" w:cs="仿宋"/>
          <w:sz w:val="32"/>
          <w:szCs w:val="32"/>
        </w:rPr>
        <w:t>万元，分别为：人员经费支出</w:t>
      </w:r>
      <w:r>
        <w:rPr>
          <w:rFonts w:hint="eastAsia" w:ascii="仿宋" w:hAnsi="仿宋" w:eastAsia="仿宋" w:cs="仿宋"/>
          <w:sz w:val="32"/>
          <w:szCs w:val="32"/>
          <w:lang w:val="en-US" w:eastAsia="zh-CN"/>
        </w:rPr>
        <w:t>51.79</w:t>
      </w:r>
      <w:r>
        <w:rPr>
          <w:rFonts w:hint="eastAsia" w:ascii="仿宋" w:hAnsi="仿宋" w:eastAsia="仿宋" w:cs="仿宋"/>
          <w:sz w:val="32"/>
          <w:szCs w:val="32"/>
        </w:rPr>
        <w:t>万元，公用经费支出</w:t>
      </w:r>
      <w:r>
        <w:rPr>
          <w:rFonts w:hint="eastAsia" w:ascii="仿宋" w:hAnsi="仿宋" w:eastAsia="仿宋" w:cs="仿宋"/>
          <w:sz w:val="32"/>
          <w:szCs w:val="32"/>
          <w:lang w:val="en-US" w:eastAsia="zh-CN"/>
        </w:rPr>
        <w:t>6</w:t>
      </w:r>
      <w:r>
        <w:rPr>
          <w:rFonts w:hint="eastAsia" w:ascii="仿宋" w:hAnsi="仿宋" w:eastAsia="仿宋" w:cs="仿宋"/>
          <w:sz w:val="32"/>
          <w:szCs w:val="32"/>
        </w:rPr>
        <w:t>万元</w:t>
      </w:r>
      <w:r>
        <w:rPr>
          <w:rFonts w:hint="eastAsia" w:ascii="仿宋" w:hAnsi="仿宋" w:eastAsia="仿宋" w:cs="宋体"/>
          <w:color w:val="000000"/>
          <w:kern w:val="0"/>
          <w:sz w:val="32"/>
          <w:szCs w:val="32"/>
        </w:rPr>
        <w:t>，主要是保障单位机构正常运转、完成日常工作任务而发生的各项支出，包括用于基本工资、津贴补贴、社会保障基金、住房公积金等人员经费以及办公费、印刷费、水电费、办公设备购置等日常公用经费。</w:t>
      </w:r>
    </w:p>
    <w:p>
      <w:pPr>
        <w:kinsoku w:val="0"/>
        <w:autoSpaceDE w:val="0"/>
        <w:autoSpaceDN w:val="0"/>
        <w:snapToGrid w:val="0"/>
        <w:spacing w:line="60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（二）项目支出</w:t>
      </w:r>
    </w:p>
    <w:p>
      <w:pPr>
        <w:widowControl/>
        <w:shd w:val="clear" w:color="auto" w:fill="FFFFFF"/>
        <w:spacing w:line="560" w:lineRule="atLeast"/>
        <w:ind w:firstLine="640" w:firstLineChars="200"/>
        <w:rPr>
          <w:rFonts w:hint="default" w:ascii="仿宋_GB2312" w:hAnsi="方正仿宋简体" w:eastAsia="仿宋" w:cs="方正仿宋简体"/>
          <w:sz w:val="32"/>
          <w:szCs w:val="32"/>
          <w:lang w:val="en-US" w:eastAsia="zh-CN"/>
        </w:rPr>
      </w:pPr>
      <w:r>
        <w:rPr>
          <w:rFonts w:hint="eastAsia" w:ascii="仿宋" w:hAnsi="仿宋" w:eastAsia="仿宋" w:cs="宋体"/>
          <w:color w:val="000000"/>
          <w:kern w:val="0"/>
          <w:sz w:val="32"/>
          <w:szCs w:val="32"/>
        </w:rPr>
        <w:t>项目支出</w:t>
      </w:r>
      <w:r>
        <w:rPr>
          <w:rFonts w:hint="eastAsia" w:ascii="仿宋" w:hAnsi="仿宋" w:eastAsia="仿宋" w:cs="宋体"/>
          <w:color w:val="000000"/>
          <w:kern w:val="0"/>
          <w:sz w:val="32"/>
          <w:szCs w:val="32"/>
          <w:lang w:val="en-US" w:eastAsia="zh-CN"/>
        </w:rPr>
        <w:t>85</w:t>
      </w:r>
      <w:r>
        <w:rPr>
          <w:rFonts w:hint="eastAsia" w:ascii="仿宋" w:hAnsi="仿宋" w:eastAsia="仿宋" w:cs="宋体"/>
          <w:color w:val="000000"/>
          <w:kern w:val="0"/>
          <w:sz w:val="32"/>
          <w:szCs w:val="32"/>
        </w:rPr>
        <w:t>万元，其中:妇女儿童工作项目支出37万元，主要用于为妇女儿童服务，加强与社会各界的联系，推动社会各界为妇女儿童办实事，办好事等方面；婚调工作项目支出10万元，主要用于对婚姻状况进行指导、调解，促进家庭和谐，促进社会和谐等方面；乡镇妇联组织工作项目支出28万元，主要用于教育引导广大妇女增加自尊、自强、自信、自立、自强精神，全面提高素质，促进妇女人才成长等方面</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家庭教育工作支出10万元，主要用于开设家庭教育讲座、开展亲子教育活动、提升家庭家教家风等方面。</w:t>
      </w:r>
    </w:p>
    <w:p>
      <w:pPr>
        <w:spacing w:line="60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（三）三公经费</w:t>
      </w:r>
    </w:p>
    <w:p>
      <w:pPr>
        <w:ind w:firstLine="6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年，我会 “三公”经费财政拨款预算数0.3万元，其中：公务接待费0.3万元。</w:t>
      </w: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shd w:val="clear" w:color="auto" w:fill="FFFFFF"/>
        </w:rPr>
        <w:t>三、单位专项组织实施情况</w:t>
      </w:r>
    </w:p>
    <w:p>
      <w:pPr>
        <w:widowControl/>
        <w:spacing w:line="600" w:lineRule="exact"/>
        <w:ind w:firstLine="640"/>
        <w:contextualSpacing/>
        <w:rPr>
          <w:rFonts w:ascii="仿宋_GB2312" w:hAnsi="方正仿宋简体" w:eastAsia="仿宋_GB2312" w:cs="方正仿宋简体"/>
          <w:sz w:val="32"/>
          <w:szCs w:val="32"/>
        </w:rPr>
      </w:pPr>
      <w:r>
        <w:rPr>
          <w:rFonts w:hint="eastAsia" w:ascii="楷体_GB2312" w:hAnsi="楷体" w:eastAsia="楷体_GB2312" w:cs="宋体"/>
          <w:b/>
          <w:bCs/>
          <w:kern w:val="0"/>
          <w:sz w:val="32"/>
          <w:szCs w:val="32"/>
          <w:shd w:val="clear" w:color="auto" w:fill="FFFFFF"/>
        </w:rPr>
        <w:t>（一）专项组织情况方面</w:t>
      </w:r>
      <w:r>
        <w:rPr>
          <w:rFonts w:hint="eastAsia" w:ascii="楷体_GB2312" w:hAnsi="楷体" w:eastAsia="楷体_GB2312" w:cs="宋体"/>
          <w:b/>
          <w:bCs/>
          <w:color w:val="000000"/>
          <w:kern w:val="0"/>
          <w:sz w:val="32"/>
          <w:szCs w:val="32"/>
          <w:shd w:val="clear" w:color="auto" w:fill="FFFFFF"/>
        </w:rPr>
        <w:t>。</w:t>
      </w:r>
      <w:r>
        <w:rPr>
          <w:rFonts w:hint="eastAsia" w:ascii="仿宋_GB2312" w:hAnsi="方正仿宋简体" w:eastAsia="仿宋_GB2312" w:cs="方正仿宋简体"/>
          <w:sz w:val="32"/>
          <w:szCs w:val="32"/>
        </w:rPr>
        <w:t xml:space="preserve">我会加强专项项目组织管理，严格落实财务管理制度。 </w:t>
      </w:r>
    </w:p>
    <w:p>
      <w:pPr>
        <w:widowControl/>
        <w:spacing w:line="600" w:lineRule="exact"/>
        <w:ind w:firstLine="640"/>
        <w:contextualSpacing/>
        <w:rPr>
          <w:rFonts w:ascii="仿宋_GB2312" w:hAnsi="方正仿宋简体" w:eastAsia="仿宋_GB2312" w:cs="方正仿宋简体"/>
          <w:sz w:val="32"/>
          <w:szCs w:val="32"/>
        </w:rPr>
      </w:pPr>
      <w:r>
        <w:rPr>
          <w:rFonts w:hint="eastAsia" w:ascii="楷体_GB2312" w:hAnsi="楷体" w:eastAsia="楷体_GB2312" w:cs="宋体"/>
          <w:b/>
          <w:bCs/>
          <w:kern w:val="0"/>
          <w:sz w:val="32"/>
          <w:szCs w:val="32"/>
          <w:shd w:val="clear" w:color="auto" w:fill="FFFFFF"/>
        </w:rPr>
        <w:t>（二）专项管理情况方面。</w:t>
      </w:r>
      <w:r>
        <w:rPr>
          <w:rFonts w:hint="eastAsia" w:ascii="仿宋_GB2312" w:hAnsi="方正仿宋简体" w:eastAsia="仿宋_GB2312" w:cs="方正仿宋简体"/>
          <w:sz w:val="32"/>
          <w:szCs w:val="32"/>
        </w:rPr>
        <w:t xml:space="preserve">一是严格执行项目预、结算审核制度。二是严格按照既定的项目实施方案，及时完善项目管理制度，认真开展财务决算工作，充分发挥资金的使用效益。 </w:t>
      </w:r>
    </w:p>
    <w:p>
      <w:pPr>
        <w:spacing w:line="600" w:lineRule="exact"/>
        <w:ind w:firstLine="640" w:firstLineChars="200"/>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四、资产管理情况</w:t>
      </w:r>
    </w:p>
    <w:p>
      <w:pPr>
        <w:spacing w:line="6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为加强单位国有资产管理，提高资产使用效益，依据《行政事业单位国有资产管理办法》，制定了沅江市妇联固定资产管理办法，规定了资产管理部门以及工作人员职责，规范了资产配置、管理、处置等有关程序。 </w:t>
      </w:r>
    </w:p>
    <w:p>
      <w:pPr>
        <w:widowControl/>
        <w:shd w:val="clear" w:color="auto" w:fill="FFFFFF"/>
        <w:spacing w:line="600" w:lineRule="exact"/>
        <w:ind w:firstLine="640"/>
        <w:contextualSpacing/>
        <w:rPr>
          <w:rFonts w:ascii="楷体_GB2312" w:hAnsi="楷体" w:eastAsia="楷体_GB2312" w:cs="宋体"/>
          <w:b/>
          <w:bCs/>
          <w:color w:val="000000"/>
          <w:kern w:val="0"/>
          <w:sz w:val="32"/>
          <w:szCs w:val="32"/>
        </w:rPr>
      </w:pPr>
      <w:r>
        <w:rPr>
          <w:rFonts w:hint="eastAsia" w:ascii="楷体_GB2312" w:hAnsi="楷体" w:eastAsia="楷体_GB2312" w:cs="宋体"/>
          <w:b/>
          <w:bCs/>
          <w:color w:val="000000"/>
          <w:kern w:val="0"/>
          <w:sz w:val="32"/>
          <w:szCs w:val="32"/>
          <w:shd w:val="clear" w:color="auto" w:fill="FFFFFF"/>
        </w:rPr>
        <w:t>（一）</w:t>
      </w:r>
      <w:r>
        <w:rPr>
          <w:rFonts w:hint="eastAsia" w:ascii="楷体_GB2312" w:hAnsi="楷体" w:eastAsia="楷体_GB2312" w:cs="宋体"/>
          <w:b/>
          <w:bCs/>
          <w:color w:val="000000"/>
          <w:kern w:val="0"/>
          <w:sz w:val="32"/>
          <w:szCs w:val="32"/>
        </w:rPr>
        <w:t xml:space="preserve">固定资产的购置： </w:t>
      </w:r>
    </w:p>
    <w:p>
      <w:pPr>
        <w:widowControl/>
        <w:shd w:val="clear" w:color="auto" w:fill="FFFFFF"/>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1.每年按照财政预算经费安排设备购置计划，办公室根据当年办公设备购置需要，与资金计划衔接，制订固定资产购置计划，经领导审定批准后实施。 </w:t>
      </w:r>
    </w:p>
    <w:p>
      <w:pPr>
        <w:widowControl/>
        <w:shd w:val="clear" w:color="auto" w:fill="FFFFFF"/>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 2.属政府采购范围内的固定资产，不得自行采购。先填报设备政府采购申请表，再由财务人员根据经费来源，向财政政府采购中心办理购置、结算手续。</w:t>
      </w:r>
    </w:p>
    <w:p>
      <w:pPr>
        <w:widowControl/>
        <w:shd w:val="clear" w:color="auto" w:fill="FFFFFF"/>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3.不属于政府采购范围的固定资产，应在进行广泛的市场询价基础上择优购置。</w:t>
      </w:r>
    </w:p>
    <w:p>
      <w:pPr>
        <w:widowControl/>
        <w:shd w:val="clear" w:color="auto" w:fill="FFFFFF"/>
        <w:spacing w:line="600" w:lineRule="exact"/>
        <w:ind w:firstLine="640"/>
        <w:contextualSpacing/>
        <w:rPr>
          <w:rFonts w:ascii="楷体_GB2312" w:hAnsi="楷体" w:eastAsia="楷体_GB2312" w:cs="宋体"/>
          <w:b/>
          <w:bCs/>
          <w:color w:val="000000"/>
          <w:kern w:val="0"/>
          <w:sz w:val="32"/>
          <w:szCs w:val="32"/>
          <w:shd w:val="clear" w:color="auto" w:fill="FFFFFF"/>
        </w:rPr>
      </w:pPr>
      <w:r>
        <w:rPr>
          <w:rFonts w:hint="eastAsia" w:ascii="楷体_GB2312" w:hAnsi="楷体" w:eastAsia="楷体_GB2312" w:cs="宋体"/>
          <w:b/>
          <w:bCs/>
          <w:color w:val="000000"/>
          <w:kern w:val="0"/>
          <w:sz w:val="32"/>
          <w:szCs w:val="32"/>
          <w:shd w:val="clear" w:color="auto" w:fill="FFFFFF"/>
        </w:rPr>
        <w:t>（二） 固定资产的验收、保管、使用（包括借用、调拨）、报废：</w:t>
      </w:r>
    </w:p>
    <w:p>
      <w:pPr>
        <w:widowControl/>
        <w:shd w:val="clear" w:color="auto" w:fill="FFFFFF"/>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新购入的固定资产，应先做好验收工作。由使用部门及使用人验收，验收人员严格把关，对所验固定资产的数量、质量、附件、资料等认真检查。经分管领导签署意见登记备案后，连同发票交财务人员登记核算。</w:t>
      </w:r>
    </w:p>
    <w:p>
      <w:pPr>
        <w:widowControl/>
        <w:shd w:val="clear" w:color="auto" w:fill="FFFFFF"/>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2.单位使用的固定资产，领用及保管要落实使用责任人。贵重财产除安排专人保管外，还要落实安全保管措施。办公室是固定资产管理的第一责任人。固定资产外借必须经分管领导批准，未经批准不得随意转借。</w:t>
      </w:r>
    </w:p>
    <w:p>
      <w:pPr>
        <w:widowControl/>
        <w:shd w:val="clear" w:color="auto" w:fill="FFFFFF"/>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3．固定资产变更使用管理部门，必须经主要领导并办理相关手续。</w:t>
      </w:r>
    </w:p>
    <w:p>
      <w:pPr>
        <w:widowControl/>
        <w:shd w:val="clear" w:color="auto" w:fill="FFFFFF"/>
        <w:spacing w:line="600" w:lineRule="exact"/>
        <w:ind w:firstLine="640"/>
        <w:contextualSpacing/>
        <w:rPr>
          <w:rFonts w:ascii="楷体_GB2312" w:hAnsi="仿宋" w:eastAsia="楷体_GB2312" w:cs="宋体"/>
          <w:b/>
          <w:bCs/>
          <w:color w:val="000000"/>
          <w:kern w:val="0"/>
          <w:sz w:val="32"/>
          <w:szCs w:val="32"/>
        </w:rPr>
      </w:pPr>
      <w:r>
        <w:rPr>
          <w:rFonts w:hint="eastAsia" w:ascii="楷体_GB2312" w:hAnsi="楷体" w:eastAsia="楷体_GB2312" w:cs="宋体"/>
          <w:b/>
          <w:bCs/>
          <w:color w:val="000000"/>
          <w:kern w:val="0"/>
          <w:sz w:val="32"/>
          <w:szCs w:val="32"/>
        </w:rPr>
        <w:t xml:space="preserve">（三）固定资产处置： </w:t>
      </w:r>
    </w:p>
    <w:p>
      <w:pPr>
        <w:widowControl/>
        <w:shd w:val="clear" w:color="auto" w:fill="FFFFFF"/>
        <w:spacing w:line="600" w:lineRule="exact"/>
        <w:ind w:firstLine="640"/>
        <w:contextualSpacing/>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固定资产的减少变动（调出、变卖、盘亏、报废、丢失、损坏）都必须按规定履行报批手续，由办公室统一进行处理，所得资金交财务入账，不得坐支或直接用于购买物品，估值超过500元以上的物品处理时，要履行国有资产报批程序和手续，上报财政审批、备案。 </w:t>
      </w:r>
    </w:p>
    <w:p>
      <w:pPr>
        <w:widowControl/>
        <w:shd w:val="clear" w:color="auto" w:fill="FFFFFF"/>
        <w:spacing w:line="600" w:lineRule="exact"/>
        <w:ind w:firstLine="640"/>
        <w:contextualSpacing/>
        <w:rPr>
          <w:rFonts w:ascii="楷体_GB2312" w:hAnsi="楷体" w:eastAsia="楷体_GB2312" w:cs="宋体"/>
          <w:b/>
          <w:bCs/>
          <w:color w:val="000000"/>
          <w:kern w:val="0"/>
          <w:sz w:val="32"/>
          <w:szCs w:val="32"/>
        </w:rPr>
      </w:pPr>
      <w:r>
        <w:rPr>
          <w:rFonts w:hint="eastAsia" w:ascii="楷体_GB2312" w:hAnsi="楷体" w:eastAsia="楷体_GB2312" w:cs="宋体"/>
          <w:b/>
          <w:bCs/>
          <w:color w:val="000000"/>
          <w:kern w:val="0"/>
          <w:sz w:val="32"/>
          <w:szCs w:val="32"/>
        </w:rPr>
        <w:t>（四）固定资产的清查：</w:t>
      </w:r>
    </w:p>
    <w:p>
      <w:pPr>
        <w:widowControl/>
        <w:shd w:val="clear" w:color="auto" w:fill="FFFFFF"/>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坚持固定资产定期清理、清查制度，使用的固定资产应每年自查一次，每二年全面清查一次，做到账物相符。 </w:t>
      </w:r>
    </w:p>
    <w:p>
      <w:pPr>
        <w:widowControl/>
        <w:shd w:val="clear" w:color="auto" w:fill="FFFFFF"/>
        <w:spacing w:line="600" w:lineRule="exact"/>
        <w:ind w:firstLine="640" w:firstLineChars="200"/>
        <w:contextualSpacing/>
        <w:rPr>
          <w:rFonts w:ascii="黑体" w:hAnsi="楷体" w:eastAsia="黑体" w:cs="宋体"/>
          <w:bCs/>
          <w:color w:val="000000"/>
          <w:kern w:val="0"/>
          <w:sz w:val="32"/>
          <w:szCs w:val="32"/>
        </w:rPr>
      </w:pPr>
      <w:r>
        <w:rPr>
          <w:rFonts w:hint="eastAsia" w:ascii="黑体" w:hAnsi="楷体" w:eastAsia="黑体" w:cs="宋体"/>
          <w:bCs/>
          <w:color w:val="000000"/>
          <w:kern w:val="0"/>
          <w:sz w:val="32"/>
          <w:szCs w:val="32"/>
        </w:rPr>
        <w:t>五、单位整体支出绩效情况</w:t>
      </w: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640" w:firstLineChars="200"/>
        <w:jc w:val="left"/>
        <w:textAlignment w:val="auto"/>
        <w:rPr>
          <w:rFonts w:ascii="仿宋_GB2312" w:hAnsi="仿宋" w:eastAsia="仿宋_GB2312" w:cs="宋体"/>
          <w:color w:val="000000"/>
          <w:kern w:val="0"/>
          <w:sz w:val="32"/>
          <w:szCs w:val="32"/>
        </w:rPr>
      </w:pPr>
      <w:r>
        <w:rPr>
          <w:rFonts w:hint="eastAsia" w:ascii="仿宋" w:hAnsi="仿宋" w:eastAsia="仿宋" w:cs="仿宋"/>
          <w:sz w:val="32"/>
          <w:szCs w:val="32"/>
          <w:lang w:val="en-US" w:eastAsia="zh-CN"/>
        </w:rPr>
        <w:t>2022年，我单位在市委市政府正确领导下、益阳市妇联的精心指导下，围绕中心服务大局，积极贯彻男女平等基本国策，落实妇女儿童发展纲要，保障妇女儿童权益，积极发挥妇联组织教育、引导、服务广大妇女的桥梁和纽带作用，引领广大妇女听党话跟党走，积极参与疫情防控、乡村振兴、人居环境整治、社会治理等工作，</w:t>
      </w:r>
      <w:r>
        <w:rPr>
          <w:rFonts w:ascii="仿宋_GB2312" w:hAnsi="仿宋" w:eastAsia="仿宋_GB2312" w:cs="宋体"/>
          <w:color w:val="000000"/>
          <w:kern w:val="0"/>
          <w:sz w:val="32"/>
          <w:szCs w:val="32"/>
        </w:rPr>
        <w:t>上下齐心，全面完成了年初绩效工作目标。</w:t>
      </w: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提高服务妇女群众的能力水平方面。</w:t>
      </w:r>
      <w:r>
        <w:rPr>
          <w:rFonts w:hint="eastAsia" w:ascii="仿宋" w:hAnsi="仿宋" w:eastAsia="仿宋" w:cs="仿宋"/>
          <w:sz w:val="32"/>
          <w:szCs w:val="32"/>
          <w:lang w:val="en-US" w:eastAsia="zh-CN"/>
        </w:rPr>
        <w:t>一是完成了乡镇妇联换届工作，选举了350名镇级妇联执委，为推进我市妇女工作和妇女参与基层治理工作奠定了坚实基础。二是积极参加领头雁培训，不断提高基层妇联组织领头雁履职能力和水平。三是举办“巾帼学习小课堂”，线上开辟了“巾帼微宣讲”专栏，线下以一月一课的形式，邀请社会各届精英，为女性讲授涵盖家庭教育、形体礼仪，女性健康等各方面的知识。四是引领妇女积极参与健身运动，举办了迎“三八”女职工拔河比赛和“巾帼心向党·邮爱一起行”广场舞大赛。</w:t>
      </w: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助推广大妇女投身创业创新方面。</w:t>
      </w:r>
      <w:r>
        <w:rPr>
          <w:rFonts w:hint="default" w:ascii="仿宋" w:hAnsi="仿宋" w:eastAsia="仿宋" w:cs="仿宋"/>
          <w:sz w:val="32"/>
          <w:szCs w:val="32"/>
          <w:lang w:eastAsia="zh-CN"/>
        </w:rPr>
        <w:t>一是</w:t>
      </w:r>
      <w:r>
        <w:rPr>
          <w:rFonts w:hint="eastAsia" w:ascii="仿宋" w:hAnsi="仿宋" w:eastAsia="仿宋" w:cs="仿宋"/>
          <w:sz w:val="32"/>
          <w:szCs w:val="32"/>
          <w:lang w:val="en-US" w:eastAsia="zh-CN"/>
        </w:rPr>
        <w:t>开展“春风送岗位”活动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与举办3场春风行动招聘会，开展2场“我成长、我健康、我美丽”创业就业培训。二是深化“寻找最美”活动，评选表彰了“最美家庭”15户，“最美婆媳”14名，“最美庭院”25个，推荐全国“五好家庭”1户；湖南省“五好家庭”1户，湖南省“最美家庭”1户，湖南省文明家庭2户；益阳市“最美家庭”5户，益阳市“五好家庭”1户，益阳市“绿色家庭”1户，益阳市“三八红旗集体”2个，益阳市“三八红旗手”3名。三是推进“湘妹子能量家园”试点，推动形成共建共治共享的乡村治理新格局。四是推出“巾帼微宣讲”系列学习活动，已开展宣讲活动22期。</w:t>
      </w: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引领妇女维护自身合法权益方面。</w:t>
      </w:r>
      <w:r>
        <w:rPr>
          <w:rFonts w:hint="eastAsia" w:ascii="仿宋" w:hAnsi="仿宋" w:eastAsia="仿宋" w:cs="仿宋"/>
          <w:sz w:val="32"/>
          <w:szCs w:val="32"/>
          <w:lang w:val="en-US" w:eastAsia="zh-CN"/>
        </w:rPr>
        <w:t>一是加大维权宣传力度，线上线下举办宣传活动20场。二是完善信访维权制度，共接待来信来访30件，信访调处率100%。三是夯实维权阵地，建立健全了婚姻家庭纠纷多元化解工作机制，揭牌成立了沅江市婚姻家庭辅导中心，婚调委受理婚姻家庭解纷调解394对，调和184对，回访13次。有力促进了家庭稳定，社会和谐。</w:t>
      </w: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为妇女儿童办好事实事方面。</w:t>
      </w:r>
      <w:r>
        <w:rPr>
          <w:rFonts w:hint="eastAsia" w:ascii="仿宋" w:hAnsi="仿宋" w:eastAsia="仿宋" w:cs="仿宋"/>
          <w:sz w:val="32"/>
          <w:szCs w:val="32"/>
          <w:lang w:val="en-US" w:eastAsia="zh-CN"/>
        </w:rPr>
        <w:t>一是实施妇女“两癌”免费检查民生实事项目，完成牵头实施农村适龄妇女“两癌”免费检查12002人。二是关爱困境妇女儿童，为200余名困境妇女儿童送上慰问物资和救助金。三是持续推进“出手吧姐姐——温暖2022”关爱困境母亲项目，3473名爱心人士为困境妇女儿童“出手”，“温暖”筹资10.8041万元。四是扎实参与“利剑护蕾”专项行动，对全市14个镇（街道、中心）的97所学校的学生进行宣讲，做到了义务阶段的中小学校全部防性侵教育全覆盖。</w:t>
      </w: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643"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营造青少年健康成长环境方面。</w:t>
      </w:r>
      <w:r>
        <w:rPr>
          <w:rFonts w:hint="eastAsia" w:ascii="仿宋" w:hAnsi="仿宋" w:eastAsia="仿宋" w:cs="仿宋"/>
          <w:sz w:val="32"/>
          <w:szCs w:val="32"/>
          <w:lang w:val="en-US" w:eastAsia="zh-CN"/>
        </w:rPr>
        <w:t>一是多渠道开启家庭教育宣传活动，线上开展《巾帼微宣讲 传播好家风》短视频宣讲活动，线下开展宣传活动28场。二是开展“4·23”亲子阅读活动，组织活动10场，参与人数近1000人次。三是着力建设清廉家风，通过以影示廉、以文诵廉、以书倡廉、以画绘廉等方式，加强家风教育。</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rPr>
          <w:rFonts w:ascii="黑体" w:hAnsi="黑体" w:eastAsia="黑体" w:cs="宋体"/>
          <w:bCs/>
          <w:color w:val="000000"/>
          <w:kern w:val="0"/>
          <w:sz w:val="32"/>
          <w:szCs w:val="32"/>
        </w:rPr>
      </w:pPr>
      <w:r>
        <w:rPr>
          <w:rFonts w:hint="eastAsia" w:ascii="黑体" w:hAnsi="黑体" w:eastAsia="黑体" w:cs="宋体"/>
          <w:bCs/>
          <w:color w:val="000000"/>
          <w:kern w:val="0"/>
          <w:sz w:val="32"/>
          <w:szCs w:val="32"/>
          <w:lang w:val="en-US" w:eastAsia="zh-CN"/>
        </w:rPr>
        <w:t>六</w:t>
      </w:r>
      <w:r>
        <w:rPr>
          <w:rFonts w:hint="eastAsia" w:ascii="黑体" w:hAnsi="黑体" w:eastAsia="黑体" w:cs="宋体"/>
          <w:bCs/>
          <w:color w:val="000000"/>
          <w:kern w:val="0"/>
          <w:sz w:val="32"/>
          <w:szCs w:val="32"/>
        </w:rPr>
        <w:t>、存在的主要问题及有关建议</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年初预算编制不够合理，要提高部门预算编制的准确性，对部门必办事项尽量提前规划，编入年初预算，提高年初预算资金分配的到位率。</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46298"/>
      <w:docPartObj>
        <w:docPartGallery w:val="autotext"/>
      </w:docPartObj>
    </w:sdtPr>
    <w:sdtContent>
      <w:p>
        <w:pPr>
          <w:pStyle w:val="5"/>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46299"/>
      <w:docPartObj>
        <w:docPartGallery w:val="autotext"/>
      </w:docPartObj>
    </w:sdtPr>
    <w:sdtContent>
      <w:p>
        <w:pPr>
          <w:pStyle w:val="5"/>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64E47"/>
    <w:multiLevelType w:val="singleLevel"/>
    <w:tmpl w:val="9A164E47"/>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MjIzNDM0NzBhODU4NGZlNGVmZjA3YWUyZGNjZjcifQ=="/>
  </w:docVars>
  <w:rsids>
    <w:rsidRoot w:val="00725030"/>
    <w:rsid w:val="000224CA"/>
    <w:rsid w:val="00063BBE"/>
    <w:rsid w:val="0007199B"/>
    <w:rsid w:val="000F1064"/>
    <w:rsid w:val="0015717B"/>
    <w:rsid w:val="00186EFB"/>
    <w:rsid w:val="002042CE"/>
    <w:rsid w:val="00206A78"/>
    <w:rsid w:val="0023213D"/>
    <w:rsid w:val="00235BE8"/>
    <w:rsid w:val="00240FFF"/>
    <w:rsid w:val="0026129C"/>
    <w:rsid w:val="002A2742"/>
    <w:rsid w:val="002E1287"/>
    <w:rsid w:val="00332193"/>
    <w:rsid w:val="003677C6"/>
    <w:rsid w:val="00480B30"/>
    <w:rsid w:val="00507DF2"/>
    <w:rsid w:val="00566B85"/>
    <w:rsid w:val="00594703"/>
    <w:rsid w:val="005B1C79"/>
    <w:rsid w:val="005C2B40"/>
    <w:rsid w:val="005E38CA"/>
    <w:rsid w:val="006237E9"/>
    <w:rsid w:val="0062447C"/>
    <w:rsid w:val="006607F1"/>
    <w:rsid w:val="0071460F"/>
    <w:rsid w:val="00725030"/>
    <w:rsid w:val="0079685D"/>
    <w:rsid w:val="007A6B8E"/>
    <w:rsid w:val="007D171B"/>
    <w:rsid w:val="00817072"/>
    <w:rsid w:val="00821FFF"/>
    <w:rsid w:val="0083085C"/>
    <w:rsid w:val="00837BCF"/>
    <w:rsid w:val="00854C20"/>
    <w:rsid w:val="00861FCE"/>
    <w:rsid w:val="008B79E1"/>
    <w:rsid w:val="008C11AA"/>
    <w:rsid w:val="00980FFA"/>
    <w:rsid w:val="00991689"/>
    <w:rsid w:val="009D470C"/>
    <w:rsid w:val="009F648C"/>
    <w:rsid w:val="00A17C5B"/>
    <w:rsid w:val="00A324E9"/>
    <w:rsid w:val="00A7752E"/>
    <w:rsid w:val="00A9353A"/>
    <w:rsid w:val="00AD1992"/>
    <w:rsid w:val="00B067F0"/>
    <w:rsid w:val="00B2292A"/>
    <w:rsid w:val="00B52A1B"/>
    <w:rsid w:val="00C34E7A"/>
    <w:rsid w:val="00CF5E9E"/>
    <w:rsid w:val="00CF68E7"/>
    <w:rsid w:val="00D53369"/>
    <w:rsid w:val="00E43280"/>
    <w:rsid w:val="00EA7866"/>
    <w:rsid w:val="00EC30CE"/>
    <w:rsid w:val="00ED3B3A"/>
    <w:rsid w:val="00EE5DA0"/>
    <w:rsid w:val="00EF39CE"/>
    <w:rsid w:val="00F0035F"/>
    <w:rsid w:val="00F84F89"/>
    <w:rsid w:val="00FA59E4"/>
    <w:rsid w:val="00FC1AF2"/>
    <w:rsid w:val="00FD0C17"/>
    <w:rsid w:val="00FF1350"/>
    <w:rsid w:val="0A7E214D"/>
    <w:rsid w:val="0CDB1CE2"/>
    <w:rsid w:val="16EE74E1"/>
    <w:rsid w:val="16F47112"/>
    <w:rsid w:val="28360CBA"/>
    <w:rsid w:val="2DC57D14"/>
    <w:rsid w:val="30993629"/>
    <w:rsid w:val="336B694A"/>
    <w:rsid w:val="36366C3E"/>
    <w:rsid w:val="3DEE0537"/>
    <w:rsid w:val="3EC22098"/>
    <w:rsid w:val="46C133D5"/>
    <w:rsid w:val="49BA0DE3"/>
    <w:rsid w:val="53ED719E"/>
    <w:rsid w:val="5C1473DD"/>
    <w:rsid w:val="635B12EE"/>
    <w:rsid w:val="66057D4F"/>
    <w:rsid w:val="669C4E3C"/>
    <w:rsid w:val="6A605304"/>
    <w:rsid w:val="7B460C6B"/>
    <w:rsid w:val="7D650379"/>
    <w:rsid w:val="7E4F25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rPr>
  </w:style>
  <w:style w:type="paragraph" w:styleId="3">
    <w:name w:val="Body Text Indent"/>
    <w:basedOn w:val="1"/>
    <w:qFormat/>
    <w:uiPriority w:val="0"/>
    <w:pPr>
      <w:ind w:left="420" w:leftChars="200"/>
    </w:pPr>
  </w:style>
  <w:style w:type="paragraph" w:styleId="4">
    <w:name w:val="Plain Text"/>
    <w:basedOn w:val="1"/>
    <w:link w:val="15"/>
    <w:qFormat/>
    <w:uiPriority w:val="0"/>
    <w:rPr>
      <w:rFonts w:ascii="宋体" w:hAnsi="Courier New" w:cs="Courier New"/>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jc w:val="left"/>
    </w:pPr>
    <w:rPr>
      <w:kern w:val="0"/>
      <w:sz w:val="24"/>
    </w:rPr>
  </w:style>
  <w:style w:type="paragraph" w:styleId="8">
    <w:name w:val="Body Text First Indent 2"/>
    <w:basedOn w:val="3"/>
    <w:qFormat/>
    <w:uiPriority w:val="0"/>
    <w:pPr>
      <w:ind w:firstLine="420" w:firstLineChars="200"/>
    </w:pPr>
    <w:rPr>
      <w:rFonts w:eastAsia="仿宋_GB2312"/>
    </w:rPr>
  </w:style>
  <w:style w:type="character" w:styleId="11">
    <w:name w:val="Strong"/>
    <w:basedOn w:val="10"/>
    <w:qFormat/>
    <w:uiPriority w:val="22"/>
    <w:rPr>
      <w:b/>
      <w:bCs/>
    </w:rPr>
  </w:style>
  <w:style w:type="character" w:customStyle="1" w:styleId="12">
    <w:name w:val="页眉 Char"/>
    <w:basedOn w:val="10"/>
    <w:link w:val="6"/>
    <w:semiHidden/>
    <w:qFormat/>
    <w:uiPriority w:val="99"/>
    <w:rPr>
      <w:rFonts w:ascii="Times New Roman" w:hAnsi="Times New Roman" w:eastAsia="宋体" w:cs="Times New Roman"/>
      <w:kern w:val="2"/>
      <w:sz w:val="18"/>
      <w:szCs w:val="18"/>
    </w:rPr>
  </w:style>
  <w:style w:type="character" w:customStyle="1" w:styleId="13">
    <w:name w:val="页脚 Char"/>
    <w:basedOn w:val="10"/>
    <w:link w:val="5"/>
    <w:qFormat/>
    <w:uiPriority w:val="99"/>
    <w:rPr>
      <w:rFonts w:ascii="Times New Roman" w:hAnsi="Times New Roman" w:eastAsia="宋体" w:cs="Times New Roman"/>
      <w:kern w:val="2"/>
      <w:sz w:val="18"/>
      <w:szCs w:val="18"/>
    </w:rPr>
  </w:style>
  <w:style w:type="character" w:customStyle="1" w:styleId="14">
    <w:name w:val="apple-converted-space"/>
    <w:basedOn w:val="10"/>
    <w:qFormat/>
    <w:uiPriority w:val="0"/>
  </w:style>
  <w:style w:type="character" w:customStyle="1" w:styleId="15">
    <w:name w:val="纯文本 Char"/>
    <w:basedOn w:val="10"/>
    <w:link w:val="4"/>
    <w:qFormat/>
    <w:uiPriority w:val="0"/>
    <w:rPr>
      <w:rFonts w:ascii="宋体" w:hAnsi="Courier New" w:eastAsia="宋体" w:cs="Courier New"/>
      <w:kern w:val="2"/>
      <w:sz w:val="21"/>
      <w:szCs w:val="21"/>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3373</Words>
  <Characters>3456</Characters>
  <Lines>19</Lines>
  <Paragraphs>5</Paragraphs>
  <TotalTime>2</TotalTime>
  <ScaleCrop>false</ScaleCrop>
  <LinksUpToDate>false</LinksUpToDate>
  <CharactersWithSpaces>3468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2019-07-31T11:51:00Z</dcterms:created>
  <dc:creator>Microsoft</dc:creator>
  <cp:lastModifiedBy>孙泽宇</cp:lastModifiedBy>
  <cp:lastPrinted>2019-08-08T02:26:00Z</cp:lastPrinted>
  <dcterms:modified xsi:type="dcterms:W3CDTF">2023-11-09T02:21:53Z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3F9585CF472641E583402BE314DEBE99_13</vt:lpwstr>
  </property>
</Properties>
</file>