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jc w:val="center"/>
        <w:textAlignment w:val="auto"/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市委宣传部20</w:t>
      </w: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22</w:t>
      </w: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年度整体支出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jc w:val="center"/>
        <w:textAlignment w:val="auto"/>
        <w:rPr>
          <w:rFonts w:ascii="方正小标宋简体" w:hAnsi="楷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楷体" w:eastAsia="方正小标宋简体" w:cs="宋体"/>
          <w:color w:val="000000"/>
          <w:kern w:val="0"/>
          <w:sz w:val="44"/>
          <w:szCs w:val="44"/>
          <w:shd w:val="clear" w:color="auto" w:fill="FFFFFF"/>
        </w:rPr>
        <w:t>绩效评价报告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楷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一、单位基本概况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（一）机构设置与人员情况：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根据《关于印发&lt;中共沅江市委宣传部职能配置、内设机构和人员编制规定&gt;的通知》（沅办〔2019〕17 号）文件规定，市委宣传部为正科级行政单位，下设办公室、意识形态和理论组、宣传文化组、新闻通讯组、文明创建组、新闻出版和版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权组6个组室，1个全额拨款事业单位宣传教育中心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根据《关于印发&lt;中共沅江市委宣传部职能配置、内设机构和人员编制规定&gt;的通知》（沅办〔2019〕17 号）文件规定，行政编制13名。设部长1名，副部长3名，正股级领导职数6名，机关后勤服务全额事业编制1名，全额拨款事业编制5名。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年本单位年未实有人数16人，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对比无变动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（二）单位主要职能：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 宣传党的路线、方针、政策。根据上级党委宣传部门和市委、市政府的部署，负责制定全市宣传思想工作规划和措施。协调、指导市直宣传文化系统和各级党委宣传思想工作，负责做好调查研究和宣传信息工作。及时掌握人民群众的思想动态，为领导科学决策服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2. 负责引导社会舆论，指导、督促各新闻单位遵守党的宣传纪律，把握舆论导向。从宏观上指导和协调精神产品的生产和文化市场的管理工作。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3. 负责指导全市的理论学习、理论宣传和理论研究工作。组织全市党员干部、职工群众开展各种专题宣传教育活动。做好市委中心组理论学习的服务工作。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4. 负责协调、指导全市的对外宣传工作。归口管理全市新闻事件的发布以及审批工作。对口协调接待媒体记者来沅采访工作安排。承办对外宣传品的审批制作。归口管理、统筹协调全市互联网上的新闻宣传工作。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5. 负责全市网络建设和管理工作；指导、协调、督促各部门加强网络服务管理；做好网上热点敏感问题的舆论引导；围绕市委、市政府中心任务，组织策划网上重大宣传活动；对涉沅网上舆情进行监测、收集和研判，提出对策建议，监促指导相关单位处置网络舆情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6. 制订全市精神文明建设建设规划，并组织实施。做好省、市文明单位的上报、复核和本市文明单位的创建、评比工作。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7. 负责全市新闻工作者和企事业单位政工干部职称评聘的有关工作。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 负责做好党报党刊的发行、导读工作。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9. 完成市委交办的其他工作任务。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黑体_GBK" w:eastAsia="方正黑体_GBK"/>
          <w:bCs/>
          <w:sz w:val="32"/>
          <w:szCs w:val="32"/>
          <w:highlight w:val="none"/>
        </w:rPr>
      </w:pPr>
      <w:r>
        <w:rPr>
          <w:rFonts w:hint="eastAsia" w:ascii="方正黑体_GBK" w:eastAsia="方正黑体_GBK"/>
          <w:bCs/>
          <w:sz w:val="32"/>
          <w:szCs w:val="32"/>
          <w:highlight w:val="none"/>
        </w:rPr>
        <w:t>二、部门整体支出使用情况</w:t>
      </w: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snapToGrid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我部基本支出主要用于维持部机关基本运转，履行部门主要职责而发生的各项支出，经费主要开支包括基本工资、津贴补贴、奖金、伙食补助费、三险二金、办公费、电费、差旅费、工会经费、其他交通费用、对个人和家庭的补助等。基本支出的主要用途及资金的管理情况：2022年度基本支出247.82万元。其中:人员经费支出202.2万元，主要用于基本工资、津贴补贴、绩效奖金、社会保障缴费、奖励金、住房公积金等支出；公用经费支出45.62万元，主要用于办公费、印刷费、水电费、差旅费、会议费、培训费、公务接待费、工会经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我部2022年初总预算收支情况：2022年度部门预算数为221.96万元，其中公共财政拨款221.96万元，政府性基金拨款0元。 其中，基本支出140.96万元，项目支出81万元。基本支出中人员经费支出126.96万元，公用经费支出14万元。收支基本平衡。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2022年终决算拨款收入为837.82万元，其中一般公共预算财政拨款收入724.12万元，政府性基金预算财政拨款收入3.5万元，其他收入110.2万元。2022年年终决算支出837.82万元，其中基本支出247.82万元，项目支出590万元，基本支出中人员经费202.2万元，日常公用经费支出45.62万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2022年我部“三公”经费预算安排支出30万元，其中，公务接待费30万元，公务用车运行费0元，因公出国（境）费用0万元，实际“三公”经费支出25.44万元，其中：公务接待费25.44万元，公务用车运行费0万元，因公出国（境）费用0元。以上三项指标均未超出预算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我部2021年“三公”经费支出25.44万元，其中：公务接待费25.44万元，公务用车运行费0万元，因公出国（境）费用0元。2022年与上年相比，“三公经费”持平，主要原因：节约成本，控制开支。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76" w:lineRule="exact"/>
        <w:ind w:firstLine="640" w:firstLineChars="200"/>
        <w:jc w:val="left"/>
        <w:textAlignment w:val="auto"/>
        <w:rPr>
          <w:rFonts w:hint="eastAsia" w:ascii="方正楷体简体" w:hAnsi="仿宋_GB2312" w:eastAsia="方正楷体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sz w:val="32"/>
          <w:szCs w:val="32"/>
        </w:rPr>
        <w:t>项目支出</w:t>
      </w:r>
    </w:p>
    <w:p>
      <w:pPr>
        <w:spacing w:beforeLines="0" w:afterLines="0" w:line="52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文化企业的扶持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、舆情处置专项资金、接待上级媒体开支、新媒体建设专项开支、党报党刊发行专项开支、全市网评员通讯员培训开支、创建学习型党组织开支等。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三、单位专项组织实施情况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（一）专项组织情况方面。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我部加强专项项目组织管理，严格落实财务管理制度。 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（二）专项管理情况方面。</w:t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是严格执行项目预、结算审核制度。二是严格按照既定的项目实施方案，及时完善项目管理制度，认真开展财务决算工作，充分发挥资金的使用效益。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  <w:shd w:val="clear" w:color="auto" w:fill="FFFFFF"/>
        </w:rPr>
        <w:t>四、资产管理情况</w:t>
      </w:r>
      <w:r>
        <w:rPr>
          <w:rFonts w:hint="eastAsia" w:ascii="方正黑体_GBK" w:hAnsi="黑体" w:eastAsia="方正黑体_GBK" w:cs="宋体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为加强单位国有资产管理，提高资产使用效益，依据《行政事业单位国有资产管理办法》，制定了沅江市委宣传部固定资产管理办法，规定了资产管理部门以及工作人员职责，规范了资产配置、管理、处置等有关程序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 xml:space="preserve">固定资产的购置：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1.每年按照财政预算经费安排设备购置计划，办公室根据当年办公设备购置需要，与资金计划衔接，制订固定资产购置计划，经领导审定批准后实施。 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2.属政府采购范围内的固定资产，不得自行采购。先由业务股室填报设备政府采购申请表，再由综合股根据经费来源，向财政政府采购中心办理购置、结算手续。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3.不属于政府采购范围的固定资产，应在进行广泛的市场询价基础上择优购置。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楷体简体" w:hAnsi="仿宋" w:eastAsia="方正楷体简体" w:cs="宋体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t>（二） 固定资产的验收、保管、使用（包括借用、调拨）、报废：</w:t>
      </w: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1.新购入的固定资产，应先做好验收工作。由使用部门及使用人验收，验收人员严格把关，对所验固定资产的数量、质量、附件、资料等认真检查。经股室分管领导签署意见登记备案后，连同发票交综合股登记核算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2.单位使用的固定资产，领用及保管要落实使用责任人。贵重财产除安排专人保管外，还要落实安全保管措施。股室负责人是本股室固定资产管理的第一责任人。固定资产外借必须经股室分管领导批准，未经批准不得随意转借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    3．固定资产变更使用管理部门，必须经综合股同意并办理相关手续。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楷体" w:eastAsia="方正楷体简体" w:cs="宋体"/>
          <w:bCs/>
          <w:color w:val="000000"/>
          <w:kern w:val="0"/>
          <w:sz w:val="32"/>
          <w:szCs w:val="32"/>
        </w:rPr>
        <w:t xml:space="preserve">（三）固定资产处置：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固定资产的减少变动（调出、变卖、盘亏、报废、丢失、损坏）都必须按规定履行报批手续，由综合股统一进行处理，所得资金交中心财务入账，不得坐支或直接用于购买物品，估值超过500元以上的物品处理时，要履行国有资产报批程序和手续，上报财政审批、备案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楷体简体" w:hAnsi="仿宋" w:eastAsia="方正楷体简体" w:cs="宋体"/>
          <w:bCs/>
          <w:color w:val="000000"/>
          <w:kern w:val="0"/>
          <w:sz w:val="32"/>
          <w:szCs w:val="32"/>
        </w:rPr>
        <w:t>（四）固定资产的清查：</w:t>
      </w:r>
      <w:r>
        <w:rPr>
          <w:rFonts w:hint="eastAsia" w:ascii="方正楷体简体" w:hAnsi="仿宋" w:eastAsia="方正楷体简体" w:cs="宋体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简体" w:hAnsi="宋体" w:eastAsia="方正仿宋简体" w:cs="宋体"/>
          <w:b/>
          <w:bCs/>
          <w:color w:val="000000"/>
          <w:kern w:val="0"/>
          <w:sz w:val="32"/>
          <w:szCs w:val="32"/>
        </w:rPr>
        <w:t xml:space="preserve">  　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坚持固定资产定期清理、清查制度，使用的固定资产应每年自查一次，每二年全面清查一次，做到账物相符。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  <w:shd w:val="clear" w:color="auto" w:fill="FFFFFF"/>
        </w:rPr>
        <w:t>五、单位整体支出绩效情况</w:t>
      </w: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 xml:space="preserve">年部门支出在满足了部机关各项工作的正常开展，确保了各项计划和任务的完成。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简体" w:hAnsi="仿宋" w:eastAsia="方正仿宋简体" w:cs="仿宋"/>
          <w:color w:val="000000"/>
          <w:kern w:val="0"/>
          <w:sz w:val="32"/>
          <w:szCs w:val="32"/>
          <w:highlight w:val="yellow"/>
          <w:lang w:bidi="ar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经济性方面。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年按照部门预算进行成本控制，单位的日常性工作开支严格按预算执行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专项支出按财政部门下达的计划实施，全年没有项目超支。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（二）效率性方面。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努力提高新媒体管理规范化水平，建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学习强国市级学习管理组，完成全市农村应急广播“村村响”升级改造工程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做好了媒体融合文章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“沅江发布”稳居全省政务微信县级月榜前十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，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传播了沅江正能量，受到各部门及人民群众的好评。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</w:pPr>
      <w:r>
        <w:rPr>
          <w:rFonts w:hint="eastAsia" w:ascii="方正仿宋简体" w:hAnsi="仿宋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方正仿宋简体" w:hAnsi="楷体" w:eastAsia="方正仿宋简体" w:cs="宋体"/>
          <w:bCs/>
          <w:color w:val="000000"/>
          <w:kern w:val="0"/>
          <w:sz w:val="32"/>
          <w:szCs w:val="32"/>
          <w:shd w:val="clear" w:color="auto" w:fill="FFFFFF"/>
        </w:rPr>
        <w:t>有效性方面。</w:t>
      </w: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部门支出的有效性主要体现在我部各项工作成效上，围绕市委、市政府的中心工作，整合全市新媒体力量，大力宣传国家、省、市政策及举措，取得了很好的成效</w:t>
      </w:r>
      <w:r>
        <w:rPr>
          <w:rFonts w:hint="eastAsia" w:ascii="方正仿宋简体" w:hAnsi="仿宋" w:eastAsia="方正仿宋简体" w:cs="仿宋"/>
          <w:bCs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76" w:lineRule="exact"/>
        <w:ind w:firstLine="640" w:firstLineChars="200"/>
        <w:contextualSpacing/>
        <w:jc w:val="left"/>
        <w:textAlignment w:val="auto"/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_GBK" w:hAnsi="黑体" w:eastAsia="方正黑体_GBK" w:cs="宋体"/>
          <w:bCs/>
          <w:color w:val="000000"/>
          <w:kern w:val="0"/>
          <w:sz w:val="32"/>
          <w:szCs w:val="32"/>
        </w:rPr>
        <w:t>五、存在的主要问题及有关建议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76" w:lineRule="exact"/>
        <w:ind w:firstLine="640" w:firstLineChars="200"/>
        <w:contextualSpacing/>
        <w:textAlignment w:val="auto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hAnsi="仿宋" w:eastAsia="方正仿宋简体" w:cs="宋体"/>
          <w:color w:val="000000"/>
          <w:kern w:val="0"/>
          <w:sz w:val="32"/>
          <w:szCs w:val="32"/>
        </w:rPr>
        <w:t>随着我市新媒体建设的不断发展，专业设备、专业技术人员等需求量越来越大，新媒体建设的支出大于收入，建议财政预算加大对我部项目经费的安排，弥补单位发展需求支出。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简体" w:eastAsia="方正仿宋简体" w:hAnsiTheme="majorEastAsia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5372590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方正仿宋简体" w:eastAsia="方正仿宋简体" w:hAnsi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hint="eastAsia" w:ascii="方正仿宋简体" w:eastAsia="方正仿宋简体" w:hAnsiTheme="majorEastAsi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简体" w:eastAsia="方正仿宋简体" w:hAnsi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方正仿宋简体" w:eastAsia="方正仿宋简体" w:hAnsiTheme="maj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hint="eastAsia" w:ascii="方正仿宋简体" w:eastAsia="方正仿宋简体" w:hAnsi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方正仿宋简体" w:eastAsia="方正仿宋简体" w:hAnsiTheme="majorEastAsia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53725907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方正仿宋简体" w:eastAsia="方正仿宋简体" w:hAnsi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hint="eastAsia" w:ascii="方正仿宋简体" w:eastAsia="方正仿宋简体" w:hAnsiTheme="majorEastAsia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方正仿宋简体" w:eastAsia="方正仿宋简体" w:hAnsi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方正仿宋简体" w:eastAsia="方正仿宋简体" w:hAnsiTheme="maj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hint="eastAsia" w:ascii="方正仿宋简体" w:eastAsia="方正仿宋简体" w:hAnsi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="方正仿宋简体" w:eastAsia="方正仿宋简体" w:hAnsiTheme="majorEastAsia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B897C"/>
    <w:multiLevelType w:val="singleLevel"/>
    <w:tmpl w:val="59BB897C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MjUyNTMzMzEzZWQyYTFmNjg5NGRiMTg1NWJhZWYifQ=="/>
  </w:docVars>
  <w:rsids>
    <w:rsidRoot w:val="00725030"/>
    <w:rsid w:val="000D3819"/>
    <w:rsid w:val="000F1064"/>
    <w:rsid w:val="00163A41"/>
    <w:rsid w:val="001924E5"/>
    <w:rsid w:val="0025126C"/>
    <w:rsid w:val="0026129C"/>
    <w:rsid w:val="00302E16"/>
    <w:rsid w:val="00332193"/>
    <w:rsid w:val="00333BAE"/>
    <w:rsid w:val="005A483A"/>
    <w:rsid w:val="00604959"/>
    <w:rsid w:val="006F6226"/>
    <w:rsid w:val="00725030"/>
    <w:rsid w:val="00841F95"/>
    <w:rsid w:val="008B2BC3"/>
    <w:rsid w:val="00945F94"/>
    <w:rsid w:val="009C2BCB"/>
    <w:rsid w:val="009D470C"/>
    <w:rsid w:val="00AE30E2"/>
    <w:rsid w:val="00B57193"/>
    <w:rsid w:val="00C16837"/>
    <w:rsid w:val="00C93762"/>
    <w:rsid w:val="00C95B3E"/>
    <w:rsid w:val="00E40523"/>
    <w:rsid w:val="00E604FC"/>
    <w:rsid w:val="0CDB1CE2"/>
    <w:rsid w:val="13814BE5"/>
    <w:rsid w:val="16F47112"/>
    <w:rsid w:val="28360CBA"/>
    <w:rsid w:val="28F2699A"/>
    <w:rsid w:val="2DC57D14"/>
    <w:rsid w:val="30993629"/>
    <w:rsid w:val="336B694A"/>
    <w:rsid w:val="3EC22098"/>
    <w:rsid w:val="41993F0F"/>
    <w:rsid w:val="43E87C75"/>
    <w:rsid w:val="46C133D5"/>
    <w:rsid w:val="47E613C8"/>
    <w:rsid w:val="49BA0DE3"/>
    <w:rsid w:val="4E6E1176"/>
    <w:rsid w:val="53ED719E"/>
    <w:rsid w:val="5C1473DD"/>
    <w:rsid w:val="66057D4F"/>
    <w:rsid w:val="68C613D6"/>
    <w:rsid w:val="6A605304"/>
    <w:rsid w:val="6D367406"/>
    <w:rsid w:val="730078B7"/>
    <w:rsid w:val="759E0871"/>
    <w:rsid w:val="75D41C73"/>
    <w:rsid w:val="7ED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2359</Words>
  <Characters>2412</Characters>
  <Lines>17</Lines>
  <Paragraphs>4</Paragraphs>
  <TotalTime>5</TotalTime>
  <ScaleCrop>false</ScaleCrop>
  <LinksUpToDate>false</LinksUpToDate>
  <CharactersWithSpaces>2483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2017-09-19T01:48:00Z</dcterms:created>
  <dc:creator>Microsoft</dc:creator>
  <cp:lastModifiedBy>孙泽宇</cp:lastModifiedBy>
  <cp:lastPrinted>2017-09-18T08:22:00Z</cp:lastPrinted>
  <dcterms:modified xsi:type="dcterms:W3CDTF">2023-11-09T02:21:08Z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8FCA565EBA864F29B95C7D53AD318994_13</vt:lpwstr>
  </property>
</Properties>
</file>