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60" w:lineRule="exact"/>
        <w:jc w:val="center"/>
        <w:textAlignment w:val="auto"/>
        <w:rPr>
          <w:rFonts w:ascii="Helvetica" w:hAnsi="Helvetica" w:eastAsia="宋体" w:cs="Helvetica"/>
          <w:b/>
          <w:bCs/>
          <w:sz w:val="45"/>
          <w:szCs w:val="45"/>
        </w:rPr>
      </w:pPr>
      <w:bookmarkStart w:id="0" w:name="_GoBack"/>
      <w:bookmarkEnd w:id="0"/>
      <w:r>
        <w:rPr>
          <w:rFonts w:hint="eastAsia" w:ascii="方正小标宋简体" w:hAnsi="方正小标宋简体" w:eastAsia="方正小标宋简体" w:cs="方正小标宋简体"/>
          <w:b w:val="0"/>
          <w:bCs w:val="0"/>
          <w:sz w:val="44"/>
          <w:szCs w:val="44"/>
        </w:rPr>
        <w:t>沅江市行政审批服务局</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年度专项支出绩效评价报告</w:t>
      </w:r>
      <w:r>
        <w:rPr>
          <w:rFonts w:hint="eastAsia" w:ascii="方正小标宋简体" w:hAnsi="方正小标宋简体" w:eastAsia="方正小标宋简体" w:cs="方正小标宋简体"/>
          <w:b w:val="0"/>
          <w:bCs w:val="0"/>
          <w:sz w:val="44"/>
          <w:szCs w:val="44"/>
          <w:shd w:val="clear" w:color="auto" w:fill="FFFFFF"/>
        </w:rPr>
        <w:t>　</w:t>
      </w:r>
      <w:r>
        <w:rPr>
          <w:rFonts w:hint="eastAsia" w:ascii="黑体" w:hAnsi="黑体" w:eastAsia="黑体" w:cs="Times New Roman"/>
          <w:sz w:val="32"/>
          <w:szCs w:val="32"/>
          <w:shd w:val="clear" w:color="auto" w:fill="FFFFFF"/>
        </w:rPr>
        <w:t>　</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沅江市财政局关于做好2022年度预算绩效自评工作的通知》（沅财绩〔2023〕1号）工作要求</w:t>
      </w:r>
      <w:r>
        <w:rPr>
          <w:rFonts w:hint="eastAsia" w:ascii="仿宋_GB2312" w:hAnsi="仿宋_GB2312" w:eastAsia="仿宋_GB2312" w:cs="仿宋_GB2312"/>
          <w:sz w:val="32"/>
          <w:szCs w:val="32"/>
        </w:rPr>
        <w:t>，我局对</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年度专项资金绩效评价如下：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一、项目基本情况</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　(一)项目概况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单位机构设置及人员情况</w:t>
      </w:r>
    </w:p>
    <w:p>
      <w:pPr>
        <w:keepNext w:val="0"/>
        <w:keepLines w:val="0"/>
        <w:pageBreakBefore w:val="0"/>
        <w:widowControl/>
        <w:kinsoku/>
        <w:wordWrap/>
        <w:overflowPunct/>
        <w:topLinePunct w:val="0"/>
        <w:autoSpaceDE/>
        <w:autoSpaceDN/>
        <w:bidi w:val="0"/>
        <w:adjustRightInd/>
        <w:spacing w:after="0" w:line="560" w:lineRule="exact"/>
        <w:ind w:firstLine="64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沅江市行政审批服务局成立于2019年3月，根据编委核定，我局内设综合股、窗口管理股、行政审批改革股、政务服务管理股、电子政务与数据资源管理股等５个股室，所属正股级事业单位１个（沅江市政务服务中心），所属副科级独立二级机构１个（沅江市政务信息中心），全部纳入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年部门预算编制范围。</w:t>
      </w:r>
      <w:r>
        <w:rPr>
          <w:rFonts w:hint="eastAsia" w:ascii="仿宋_GB2312" w:hAnsi="仿宋_GB2312" w:eastAsia="仿宋_GB2312" w:cs="仿宋_GB2312"/>
          <w:sz w:val="32"/>
          <w:szCs w:val="32"/>
          <w:shd w:val="clear" w:color="auto" w:fill="FFFFFF"/>
        </w:rPr>
        <w:t>纳入部门预算编制</w:t>
      </w:r>
      <w:r>
        <w:rPr>
          <w:rFonts w:hint="eastAsia" w:ascii="仿宋_GB2312" w:hAnsi="仿宋_GB2312" w:eastAsia="仿宋_GB2312" w:cs="仿宋_GB2312"/>
          <w:sz w:val="32"/>
          <w:szCs w:val="32"/>
          <w:shd w:val="clear" w:color="auto" w:fill="FFFFFF"/>
          <w:lang w:val="en-US" w:eastAsia="zh-CN"/>
        </w:rPr>
        <w:t>17</w:t>
      </w:r>
      <w:r>
        <w:rPr>
          <w:rFonts w:hint="eastAsia" w:ascii="仿宋_GB2312" w:hAnsi="仿宋_GB2312" w:eastAsia="仿宋_GB2312" w:cs="仿宋_GB2312"/>
          <w:sz w:val="32"/>
          <w:szCs w:val="32"/>
          <w:shd w:val="clear" w:color="auto" w:fill="FFFFFF"/>
        </w:rPr>
        <w:t>人。其中：实有在职人员</w:t>
      </w:r>
      <w:r>
        <w:rPr>
          <w:rFonts w:hint="eastAsia" w:ascii="仿宋_GB2312" w:hAnsi="仿宋_GB2312" w:eastAsia="仿宋_GB2312" w:cs="仿宋_GB2312"/>
          <w:sz w:val="32"/>
          <w:szCs w:val="32"/>
          <w:shd w:val="clear" w:color="auto" w:fill="FFFFFF"/>
          <w:lang w:val="en-US" w:eastAsia="zh-CN"/>
        </w:rPr>
        <w:t>17</w:t>
      </w:r>
      <w:r>
        <w:rPr>
          <w:rFonts w:hint="eastAsia" w:ascii="仿宋_GB2312" w:hAnsi="仿宋_GB2312" w:eastAsia="仿宋_GB2312" w:cs="仿宋_GB2312"/>
          <w:sz w:val="32"/>
          <w:szCs w:val="32"/>
          <w:shd w:val="clear" w:color="auto" w:fill="FFFFFF"/>
        </w:rPr>
        <w:t>人，离退休人员０人，遗属０人。</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单位主要工作职能</w:t>
      </w:r>
    </w:p>
    <w:p>
      <w:pPr>
        <w:keepNext w:val="0"/>
        <w:keepLines w:val="0"/>
        <w:pageBreakBefore w:val="0"/>
        <w:widowControl/>
        <w:shd w:val="clear" w:color="auto" w:fill="FFFFFF"/>
        <w:kinsoku/>
        <w:wordWrap/>
        <w:overflowPunct/>
        <w:topLinePunct w:val="0"/>
        <w:autoSpaceDE/>
        <w:autoSpaceDN/>
        <w:bidi w:val="0"/>
        <w:adjustRightInd/>
        <w:spacing w:after="0" w:line="560" w:lineRule="exact"/>
        <w:ind w:firstLine="64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贯彻落实党中央关于行政审批制度改革、政务管理服务、智慧城市建设、数据资源管理工作的方针政策和决策部署，全面落实市委、市政府关于行政审批制度改革、政务管理服务、智慧城市建设、数据资源管理工作的部署要求，在履行职责过程中坚持和加强党对行政审批改革、政务管理服务、智慧城市建设、数据资源管理工作的集中统一领导。</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华文楷体" w:hAnsi="华文楷体" w:eastAsia="华文楷体" w:cs="华文楷体"/>
          <w:b w:val="0"/>
          <w:bCs w:val="0"/>
          <w:sz w:val="32"/>
          <w:szCs w:val="32"/>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2022年，我局认真贯彻落实市委市政府决策部署，牵头推进“放管服”改革，持续优化营商政务环境，主要完成“一件事一次办”改革</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推进“放管服”重点任务，提升线上线下服务能力三大块工作任务，工作取得明显成效，2022年全省营商环境评价政务服务指标排位26名，进入省优秀行列，获得益阳市“放管服”和“一件事一次办”改革真抓实干督查激励，</w:t>
      </w:r>
      <w:r>
        <w:rPr>
          <w:rFonts w:hint="eastAsia" w:ascii="仿宋_GB2312" w:hAnsi="仿宋_GB2312" w:eastAsia="仿宋_GB2312" w:cs="仿宋_GB2312"/>
          <w:b w:val="0"/>
          <w:i w:val="0"/>
          <w:caps w:val="0"/>
          <w:color w:val="000000"/>
          <w:spacing w:val="0"/>
          <w:w w:val="100"/>
          <w:kern w:val="2"/>
          <w:sz w:val="32"/>
          <w:szCs w:val="32"/>
          <w:lang w:val="en-US" w:eastAsia="zh-CN" w:bidi="ar-SA"/>
        </w:rPr>
        <w:t xml:space="preserve">“清廉大厅”品牌 </w:t>
      </w:r>
      <w:r>
        <w:rPr>
          <w:rFonts w:hint="eastAsia" w:ascii="仿宋_GB2312" w:eastAsia="仿宋_GB2312" w:cstheme="minorBidi"/>
          <w:b w:val="0"/>
          <w:bCs w:val="0"/>
          <w:kern w:val="2"/>
          <w:sz w:val="32"/>
          <w:szCs w:val="32"/>
          <w:lang w:val="en-US" w:eastAsia="zh-CN" w:bidi="ar-SA"/>
        </w:rPr>
        <w:t>荣获2022年度全省“放管服”改革“揭榜竞优”优秀成果改革品牌，同时获得省深改办推介。</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绩效评价指标分析情况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（一）项目资金情况分析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1.项目资金到位情况分析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年，市财政拨付市行政审批服务局</w:t>
      </w:r>
      <w:r>
        <w:rPr>
          <w:rFonts w:hint="eastAsia" w:ascii="仿宋_GB2312" w:hAnsi="仿宋_GB2312" w:eastAsia="仿宋_GB2312" w:cs="仿宋_GB2312"/>
          <w:sz w:val="32"/>
          <w:szCs w:val="32"/>
          <w:lang w:val="en-US" w:eastAsia="zh-CN"/>
        </w:rPr>
        <w:t>劳务派遣人员工资、社区接入电子政务外网电路租赁、大厅营运维护费用、物业管理费、窗口工作人员补贴、业务培训费、电费及水费、水电及安防费用</w:t>
      </w:r>
      <w:r>
        <w:rPr>
          <w:rFonts w:hint="eastAsia" w:ascii="仿宋_GB2312" w:hAnsi="仿宋_GB2312" w:eastAsia="仿宋_GB2312" w:cs="仿宋_GB2312"/>
          <w:sz w:val="32"/>
          <w:szCs w:val="32"/>
        </w:rPr>
        <w:t>专项经费</w:t>
      </w:r>
      <w:r>
        <w:rPr>
          <w:rFonts w:hint="eastAsia" w:ascii="仿宋_GB2312" w:hAnsi="仿宋_GB2312" w:eastAsia="仿宋_GB2312" w:cs="仿宋_GB2312"/>
          <w:sz w:val="32"/>
          <w:szCs w:val="32"/>
          <w:lang w:val="en-US" w:eastAsia="zh-CN"/>
        </w:rPr>
        <w:t>669.48</w:t>
      </w:r>
      <w:r>
        <w:rPr>
          <w:rFonts w:hint="eastAsia" w:ascii="仿宋_GB2312" w:hAnsi="仿宋_GB2312" w:eastAsia="仿宋_GB2312" w:cs="仿宋_GB2312"/>
          <w:sz w:val="32"/>
          <w:szCs w:val="32"/>
        </w:rPr>
        <w:t>万元。</w:t>
      </w:r>
    </w:p>
    <w:tbl>
      <w:tblPr>
        <w:tblStyle w:val="4"/>
        <w:tblW w:w="7956" w:type="dxa"/>
        <w:tblInd w:w="93" w:type="dxa"/>
        <w:shd w:val="clear" w:color="auto" w:fill="auto"/>
        <w:tblLayout w:type="fixed"/>
        <w:tblCellMar>
          <w:top w:w="0" w:type="dxa"/>
          <w:left w:w="108" w:type="dxa"/>
          <w:bottom w:w="0" w:type="dxa"/>
          <w:right w:w="108" w:type="dxa"/>
        </w:tblCellMar>
      </w:tblPr>
      <w:tblGrid>
        <w:gridCol w:w="2016"/>
        <w:gridCol w:w="2865"/>
        <w:gridCol w:w="1164"/>
        <w:gridCol w:w="1911"/>
      </w:tblGrid>
      <w:tr>
        <w:tblPrEx>
          <w:shd w:val="clear" w:color="auto" w:fill="auto"/>
          <w:tblCellMar>
            <w:top w:w="0" w:type="dxa"/>
            <w:left w:w="108" w:type="dxa"/>
            <w:bottom w:w="0" w:type="dxa"/>
            <w:right w:w="108" w:type="dxa"/>
          </w:tblCellMar>
        </w:tblPrEx>
        <w:trPr>
          <w:trHeight w:val="270" w:hRule="atLeast"/>
        </w:trPr>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86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116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9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一、经费拨款</w:t>
            </w:r>
          </w:p>
        </w:tc>
      </w:tr>
      <w:tr>
        <w:tblPrEx>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spacing w:after="0" w:line="560" w:lineRule="exact"/>
              <w:jc w:val="lef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6544.8</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6544.8</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新增劳务派遣人员工资</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新增大厅营运维护费用</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窗口工作人员补贴</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业务培训费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电费及水费</w:t>
            </w:r>
          </w:p>
        </w:tc>
        <w:tc>
          <w:tcPr>
            <w:tcW w:w="286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911" w:type="dxa"/>
            <w:tcBorders>
              <w:top w:val="nil"/>
              <w:left w:val="nil"/>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政务一体化平台后期运维</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社区接入电子政务外网电路租赁</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129.80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129.80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水电及安防费用</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政府网站建设管理专线经费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网站建设专项经费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中心机房及网络维护费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电子政务外网平台一期工程设备维护费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电子政务外网链路及城域网光纤租费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578.00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578.00</w:t>
            </w:r>
          </w:p>
        </w:tc>
      </w:tr>
      <w:tr>
        <w:tblPrEx>
          <w:tblCellMar>
            <w:top w:w="0" w:type="dxa"/>
            <w:left w:w="108" w:type="dxa"/>
            <w:bottom w:w="0" w:type="dxa"/>
            <w:right w:w="108" w:type="dxa"/>
          </w:tblCellMar>
        </w:tblPrEx>
        <w:trPr>
          <w:trHeight w:val="96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全市电子政务网络运行维护费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w:t>
            </w:r>
          </w:p>
        </w:tc>
      </w:tr>
      <w:tr>
        <w:tblPrEx>
          <w:tblCellMar>
            <w:top w:w="0" w:type="dxa"/>
            <w:left w:w="108" w:type="dxa"/>
            <w:bottom w:w="0" w:type="dxa"/>
            <w:right w:w="108" w:type="dxa"/>
          </w:tblCellMar>
        </w:tblPrEx>
        <w:trPr>
          <w:trHeight w:val="96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地下停车位租金</w:t>
            </w:r>
          </w:p>
        </w:tc>
        <w:tc>
          <w:tcPr>
            <w:tcW w:w="2865" w:type="dxa"/>
            <w:tcBorders>
              <w:top w:val="single" w:color="000000" w:sz="4" w:space="0"/>
              <w:left w:val="single" w:color="auto" w:sz="4" w:space="0"/>
              <w:bottom w:val="single" w:color="auto"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250.00</w:t>
            </w:r>
          </w:p>
        </w:tc>
      </w:tr>
    </w:tbl>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单位：千元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2.项目资金管理情况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局机关财务制度健全，管理规范,账务处理及时，会计核算规范。专项资金严格按照国家规定的项目资金相关法律、法规的规定和要求使用，确保资金的专款专用，项目资金严格按照国家规定的项目资金管理有关法律法规的规定使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（二）项目实施及管理情况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在专项资金组织管理上，我们严格按照国家和省市规定的项目资金相关法律、法规的规定和要求使用，内部实现了专项资金统一归口管理，坚持专款专用，量入为出的原则，使专用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（三）项目绩效情况分析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年度专项支出绩效显著，取得了良好的社会效应和经济效应。具体表现在：</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政务服务大厅实行精细化管理；</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2.营商</w:t>
      </w:r>
      <w:r>
        <w:rPr>
          <w:rFonts w:hint="eastAsia" w:ascii="仿宋_GB2312" w:hAnsi="仿宋_GB2312" w:eastAsia="仿宋_GB2312" w:cs="仿宋_GB2312"/>
          <w:sz w:val="32"/>
          <w:szCs w:val="32"/>
        </w:rPr>
        <w:t>政务环境持续优化;</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线上线下服务能力持续提升</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一件事一次办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改革持续深化</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after="0" w:afterLines="0" w:line="560" w:lineRule="exact"/>
        <w:ind w:left="0" w:leftChars="0" w:firstLine="0" w:firstLineChars="0"/>
        <w:rPr>
          <w:rFonts w:hint="default" w:eastAsia="仿宋_GB2312"/>
          <w:lang w:val="en-US" w:eastAsia="zh-CN"/>
        </w:rPr>
      </w:pPr>
      <w:r>
        <w:rPr>
          <w:rFonts w:hint="eastAsia" w:ascii="仿宋_GB2312" w:hAnsi="仿宋_GB2312" w:cs="仿宋_GB2312"/>
          <w:sz w:val="32"/>
          <w:szCs w:val="32"/>
          <w:lang w:val="en-US" w:eastAsia="zh-CN"/>
        </w:rPr>
        <w:t xml:space="preserve">    5.“清廉大厅”建设获得企业群众认可。</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（四）项目后续工作计划</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放管服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改革优化营商环境</w:t>
      </w:r>
      <w:r>
        <w:rPr>
          <w:rFonts w:hint="eastAsia" w:ascii="仿宋_GB2312" w:hAnsi="仿宋_GB2312" w:eastAsia="仿宋_GB2312" w:cs="仿宋_GB2312"/>
          <w:sz w:val="32"/>
          <w:szCs w:val="32"/>
        </w:rPr>
        <w:t>有序进行;</w:t>
      </w:r>
    </w:p>
    <w:p>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32"/>
          <w:szCs w:val="32"/>
        </w:rPr>
        <w:t>2.加强宣传培训,提高窗口工作人员服务群众能力</w:t>
      </w:r>
      <w:r>
        <w:rPr>
          <w:rFonts w:hint="eastAsia" w:ascii="仿宋_GB2312" w:hAnsi="仿宋_GB2312" w:eastAsia="仿宋_GB2312" w:cs="仿宋_GB2312"/>
          <w:spacing w:val="1"/>
          <w:sz w:val="32"/>
          <w:szCs w:val="32"/>
        </w:rPr>
        <w:t xml:space="preserve">; </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3.提升政务服务大厅运行管理精准性和实效性；</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4.持续深化“放管服”重点领域改革；</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5.纵深推进“一件事一次办”改革，打造政务服务升级版。</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黑体" w:hAnsi="黑体" w:eastAsia="黑体" w:cs="黑体"/>
          <w:sz w:val="21"/>
          <w:szCs w:val="21"/>
        </w:rPr>
      </w:pPr>
      <w:r>
        <w:rPr>
          <w:rFonts w:hint="eastAsia" w:ascii="黑体" w:hAnsi="黑体" w:eastAsia="黑体" w:cs="黑体"/>
          <w:sz w:val="32"/>
          <w:szCs w:val="32"/>
        </w:rPr>
        <w:t>三、综合评价情况及评价结论</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年我单位专项资金项目总体评价是：专项工作科学合理，管理规范，服务到位，整体完成较好，运行保障有力，取得良好的社会效益和经济效益。</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黑体" w:hAnsi="黑体" w:eastAsia="黑体" w:cs="黑体"/>
          <w:sz w:val="21"/>
          <w:szCs w:val="21"/>
        </w:rPr>
      </w:pPr>
      <w:r>
        <w:rPr>
          <w:rFonts w:hint="eastAsia" w:ascii="黑体" w:hAnsi="黑体" w:eastAsia="黑体" w:cs="黑体"/>
          <w:sz w:val="32"/>
          <w:szCs w:val="32"/>
        </w:rPr>
        <w:t>四、存在的问题和建议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1.存在的问题</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深化“放管服”改革成效不明显。亮点不够，宣传推介不力。各牵头部门推进“放管服”改革和“一件事一次办”改革特色亮点不多，总结提炼经验做法不够，在各主管机关简报和主流媒体上稿的数量少。</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2.意见建议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打造亮点特色存在明显短板。开拓创新意识不强，深入研究挖掘不够，特色不特，亮点不亮；宣传推介不力，在省级内刊、媒体上稿较少。</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MjAyODRkOWZiMWU1ZDhkZDc5MDU2OWNhNjM0NTQifQ=="/>
  </w:docVars>
  <w:rsids>
    <w:rsidRoot w:val="00D31D50"/>
    <w:rsid w:val="000158FA"/>
    <w:rsid w:val="00323B43"/>
    <w:rsid w:val="003D37D8"/>
    <w:rsid w:val="00426133"/>
    <w:rsid w:val="004358AB"/>
    <w:rsid w:val="008B7726"/>
    <w:rsid w:val="009655D4"/>
    <w:rsid w:val="00A73C2A"/>
    <w:rsid w:val="00D31D50"/>
    <w:rsid w:val="04CD4CAE"/>
    <w:rsid w:val="27CB5FC7"/>
    <w:rsid w:val="28481950"/>
    <w:rsid w:val="70E2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r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1806</Words>
  <Characters>2024</Characters>
  <Lines>10</Lines>
  <Paragraphs>2</Paragraphs>
  <TotalTime>23</TotalTime>
  <ScaleCrop>false</ScaleCrop>
  <LinksUpToDate>false</LinksUpToDate>
  <CharactersWithSpaces>2034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孙泽宇</cp:lastModifiedBy>
  <cp:lastPrinted>2023-04-10T01:45:00Z</cp:lastPrinted>
  <dcterms:modified xsi:type="dcterms:W3CDTF">2023-11-09T02:19:24Z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7F2DB28E82F442A0B7F3084EF57283AD_13</vt:lpwstr>
  </property>
</Properties>
</file>