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6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沅江市行政审批服务局2022年度整体支出绩效评价报告</w:t>
      </w:r>
    </w:p>
    <w:p>
      <w:pPr>
        <w:adjustRightInd/>
        <w:snapToGrid/>
        <w:spacing w:after="0" w:line="560" w:lineRule="exact"/>
        <w:ind w:firstLine="640"/>
        <w:jc w:val="both"/>
        <w:rPr>
          <w:rFonts w:ascii="Times New Roman" w:hAnsi="Times New Roman" w:eastAsia="宋体" w:cs="Times New Roman"/>
          <w:sz w:val="21"/>
          <w:szCs w:val="21"/>
        </w:rPr>
      </w:pPr>
      <w:r>
        <w:rPr>
          <w:rFonts w:hint="eastAsia" w:ascii="黑体" w:hAnsi="黑体" w:eastAsia="黑体" w:cs="Times New Roman"/>
          <w:sz w:val="32"/>
          <w:szCs w:val="32"/>
          <w:shd w:val="clear" w:color="auto" w:fill="FFFFFF"/>
        </w:rPr>
        <w:t>　</w:t>
      </w:r>
      <w:r>
        <w:rPr>
          <w:rFonts w:hint="eastAsia" w:ascii="黑体" w:hAnsi="黑体" w:eastAsia="黑体" w:cs="Times New Roman"/>
          <w:sz w:val="32"/>
          <w:szCs w:val="32"/>
        </w:rPr>
        <w:t>一、部门基本情况</w:t>
      </w:r>
    </w:p>
    <w:p>
      <w:pPr>
        <w:adjustRightInd/>
        <w:snapToGrid/>
        <w:spacing w:after="0" w:line="560" w:lineRule="exact"/>
        <w:ind w:firstLine="640"/>
        <w:jc w:val="both"/>
        <w:rPr>
          <w:rFonts w:ascii="华文楷体" w:hAnsi="华文楷体" w:eastAsia="华文楷体" w:cs="华文楷体"/>
          <w:sz w:val="21"/>
          <w:szCs w:val="21"/>
        </w:rPr>
      </w:pPr>
      <w:r>
        <w:rPr>
          <w:rFonts w:hint="eastAsia" w:ascii="华文楷体" w:hAnsi="华文楷体" w:eastAsia="华文楷体" w:cs="华文楷体"/>
          <w:sz w:val="32"/>
          <w:szCs w:val="32"/>
        </w:rPr>
        <w:t>（一）机构设置情况</w:t>
      </w:r>
    </w:p>
    <w:p>
      <w:pPr>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 xml:space="preserve">沅江市行政审批服务局成立于2019年3月，根据编委核定，我局内设综合股、窗口管理股、行政审批改革股、政务服务管理股、电子政务与数据资源管理股等５个股室，所属正股级事业单位１个（沅江市政务服务中心），所属副科级独立二级机构１个（沅江市政务信息中心），全部纳入2022年部门预算编制范围。 </w:t>
      </w:r>
    </w:p>
    <w:p>
      <w:pPr>
        <w:adjustRightInd/>
        <w:snapToGrid/>
        <w:spacing w:after="0" w:line="560" w:lineRule="exact"/>
        <w:ind w:firstLine="643"/>
        <w:jc w:val="both"/>
        <w:rPr>
          <w:rFonts w:ascii="华文楷体" w:hAnsi="华文楷体" w:eastAsia="华文楷体" w:cs="华文楷体"/>
          <w:sz w:val="32"/>
          <w:szCs w:val="32"/>
        </w:rPr>
      </w:pPr>
      <w:r>
        <w:rPr>
          <w:rFonts w:hint="eastAsia" w:ascii="华文楷体" w:hAnsi="华文楷体" w:eastAsia="华文楷体" w:cs="华文楷体"/>
          <w:sz w:val="32"/>
          <w:szCs w:val="32"/>
        </w:rPr>
        <w:t>（二）人员情况</w:t>
      </w:r>
    </w:p>
    <w:p>
      <w:pPr>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shd w:val="clear" w:color="auto" w:fill="FFFFFF"/>
        </w:rPr>
        <w:t>我局纳入部门预算编制17人（不含所属副科级二级机构）。其中：实有在职人员17人，离退休人员０人，遗属０人。</w:t>
      </w:r>
    </w:p>
    <w:p>
      <w:pPr>
        <w:adjustRightInd/>
        <w:snapToGrid/>
        <w:spacing w:after="0" w:line="560" w:lineRule="exact"/>
        <w:ind w:firstLine="480"/>
        <w:jc w:val="both"/>
        <w:rPr>
          <w:rFonts w:ascii="华文楷体" w:hAnsi="华文楷体" w:eastAsia="华文楷体" w:cs="华文楷体"/>
          <w:sz w:val="21"/>
          <w:szCs w:val="21"/>
        </w:rPr>
      </w:pPr>
      <w:r>
        <w:rPr>
          <w:rFonts w:hint="eastAsia" w:ascii="华文楷体" w:hAnsi="华文楷体" w:eastAsia="华文楷体" w:cs="华文楷体"/>
          <w:sz w:val="32"/>
          <w:szCs w:val="32"/>
        </w:rPr>
        <w:t>（三）主要工作职责</w:t>
      </w:r>
    </w:p>
    <w:p>
      <w:pPr>
        <w:shd w:val="clear" w:color="auto" w:fill="FFFFFF"/>
        <w:adjustRightIn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贯彻落实党中央关于行政审批制度改革、政务管理服务、智慧城市建设、数据资源管理工作的方针政策和决策部署，全面落实市委、市政府关于行政审批制度改革、政务管理服务、智慧城市建设、数据资源管理工作的部署要求，在履行职责过程中坚持和加强党对行政审批改革、政务管理服务、智慧城市建设、数据资源管理工作的集中统一领导。</w:t>
      </w:r>
    </w:p>
    <w:p>
      <w:pPr>
        <w:adjustRightInd/>
        <w:snapToGrid/>
        <w:spacing w:after="0" w:line="560" w:lineRule="exact"/>
        <w:ind w:firstLine="640"/>
        <w:jc w:val="both"/>
        <w:rPr>
          <w:rFonts w:ascii="Times New Roman" w:hAnsi="Times New Roman" w:eastAsia="宋体" w:cs="Times New Roman"/>
          <w:sz w:val="21"/>
          <w:szCs w:val="21"/>
        </w:rPr>
      </w:pPr>
      <w:r>
        <w:rPr>
          <w:rFonts w:hint="eastAsia" w:ascii="黑体" w:hAnsi="黑体" w:eastAsia="黑体" w:cs="Times New Roman"/>
          <w:sz w:val="32"/>
          <w:szCs w:val="32"/>
        </w:rPr>
        <w:t>二、部门整体支出使用情况</w:t>
      </w:r>
    </w:p>
    <w:p>
      <w:pPr>
        <w:adjustRightInd/>
        <w:snapToGrid/>
        <w:spacing w:after="0" w:line="560" w:lineRule="exact"/>
        <w:ind w:firstLine="643"/>
        <w:jc w:val="both"/>
        <w:rPr>
          <w:rFonts w:ascii="华文楷体" w:hAnsi="华文楷体" w:eastAsia="华文楷体" w:cs="华文楷体"/>
          <w:sz w:val="21"/>
          <w:szCs w:val="21"/>
        </w:rPr>
      </w:pPr>
      <w:r>
        <w:rPr>
          <w:rFonts w:hint="eastAsia" w:ascii="华文楷体" w:hAnsi="华文楷体" w:eastAsia="华文楷体" w:cs="华文楷体"/>
          <w:sz w:val="32"/>
          <w:szCs w:val="32"/>
        </w:rPr>
        <w:t>（一）基本支出</w:t>
      </w:r>
    </w:p>
    <w:p>
      <w:pPr>
        <w:adjustRightInd/>
        <w:snapToGrid/>
        <w:spacing w:after="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的主要用途范围及资金的管理情况。2022年度一般公共预算财政拨款基本支出397.08万元，其中工资福利支出210.99万元，主要包括：基本工资、津贴补贴、奖金、绩效工资、机关事业单位基本养老保险缴费、职工基本医疗保险缴费、其他社会保障缴费、住房公积金。商品和服务支出174.89万元，主要包括：办公费、印刷费、邮电费、差旅费、维修（护）费、培训费、公务接待费、劳务费、工会经费、其他交通费用、其他商品和服务支出。对个人和家庭的补助11.2万元。</w:t>
      </w:r>
    </w:p>
    <w:p>
      <w:pPr>
        <w:adjustRightInd/>
        <w:snapToGrid/>
        <w:spacing w:after="0" w:line="56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2.年初总预算支出情况。2022年年初预算665.15万元，其中人员支出141.67万元，公用经费17万元，项目支出506.48万元。</w:t>
      </w:r>
    </w:p>
    <w:p>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3.本年财政拨款预算追加及年度可用财政拨款预算指标情况。</w:t>
      </w:r>
    </w:p>
    <w:p>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4.年度预算收入决算情况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2022年本年收入决算数901.35万元。其中财政拨款预算收入894.24万元，其他预算收入7.11万元。</w:t>
      </w:r>
    </w:p>
    <w:p>
      <w:pPr>
        <w:adjustRightInd/>
        <w:snapToGrid/>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5.年度预算支出决算及结余情况。</w:t>
      </w:r>
    </w:p>
    <w:p>
      <w:pPr>
        <w:adjustRightInd/>
        <w:snapToGrid/>
        <w:spacing w:after="0" w:line="560" w:lineRule="exact"/>
        <w:ind w:firstLine="643"/>
        <w:jc w:val="both"/>
        <w:rPr>
          <w:rFonts w:ascii="仿宋_GB2312" w:hAnsi="仿宋_GB2312" w:eastAsia="仿宋_GB2312" w:cs="仿宋_GB2312"/>
          <w:sz w:val="32"/>
          <w:szCs w:val="32"/>
        </w:rPr>
      </w:pPr>
      <w:r>
        <w:rPr>
          <w:rFonts w:hint="eastAsia" w:ascii="华文楷体" w:hAnsi="华文楷体" w:eastAsia="华文楷体" w:cs="华文楷体"/>
          <w:sz w:val="32"/>
          <w:szCs w:val="32"/>
        </w:rPr>
        <w:t>6.</w:t>
      </w:r>
      <w:r>
        <w:rPr>
          <w:rFonts w:hint="eastAsia" w:ascii="仿宋_GB2312" w:hAnsi="仿宋_GB2312" w:eastAsia="仿宋_GB2312" w:cs="仿宋_GB2312"/>
          <w:sz w:val="32"/>
          <w:szCs w:val="32"/>
        </w:rPr>
        <w:t>“三公经费”情况。2022年度“三公”经费财政拨款支出总计万元，其中因公出国（境）费支出0万元、公务用车购置和运行维护费支出0万元，公务接待费支出1.038万元，较去年公务接待费有所上升，由于本年度“政务信息中心”合并至本单位，各项指标根据单位实际情况发生增减变化</w:t>
      </w:r>
      <w:r>
        <w:rPr>
          <w:rFonts w:hint="eastAsia" w:ascii="仿宋_GB2312" w:hAnsi="仿宋_GB2312" w:eastAsia="仿宋_GB2312" w:cs="仿宋_GB2312"/>
          <w:sz w:val="32"/>
          <w:szCs w:val="32"/>
          <w:lang w:val="zh-CN"/>
        </w:rPr>
        <w:t>。</w:t>
      </w:r>
    </w:p>
    <w:p>
      <w:pPr>
        <w:adjustRightInd/>
        <w:snapToGrid/>
        <w:spacing w:after="0" w:line="560" w:lineRule="exact"/>
        <w:ind w:firstLine="640"/>
        <w:jc w:val="both"/>
        <w:rPr>
          <w:rFonts w:ascii="华文楷体" w:hAnsi="华文楷体" w:eastAsia="华文楷体" w:cs="华文楷体"/>
          <w:sz w:val="21"/>
          <w:szCs w:val="21"/>
        </w:rPr>
      </w:pPr>
      <w:r>
        <w:rPr>
          <w:rFonts w:hint="eastAsia" w:ascii="华文楷体" w:hAnsi="华文楷体" w:eastAsia="华文楷体" w:cs="华文楷体"/>
          <w:sz w:val="32"/>
          <w:szCs w:val="32"/>
        </w:rPr>
        <w:t>（二）专项支出管理使用情况</w:t>
      </w:r>
    </w:p>
    <w:p>
      <w:pPr>
        <w:adjustRightInd/>
        <w:snapToGrid/>
        <w:spacing w:after="0" w:line="56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32"/>
          <w:szCs w:val="32"/>
        </w:rPr>
        <w:t>专项资金包括劳务派遣人员工资、社区接入电子政务外网电路租赁、大厅营运维护费用、物业管理费、窗口工作人员补贴、业务培训费、电费及水费、水电及安防费用专项经费510.21万元，其他自筹资金0元。</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三、单位专项组织实施情况</w:t>
      </w:r>
      <w:r>
        <w:rPr>
          <w:rFonts w:hint="eastAsia" w:ascii="黑体" w:hAnsi="黑体" w:eastAsia="黑体" w:cs="Helvetica"/>
          <w:sz w:val="32"/>
          <w:szCs w:val="32"/>
        </w:rPr>
        <w:t xml:space="preserve"> </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1.专项组织情况方面。加强专项项目组织管理，严格落实财务管理制度。 </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2.专项管理情况方面。一是严格执行项目预、结算审核制度。二是严格按照既定的项目实施方案，及时完善项目管理制度，认真开展财务决算工作，充分发挥资金的使用效益。</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四、资产管理情况</w:t>
      </w:r>
      <w:r>
        <w:rPr>
          <w:rFonts w:hint="eastAsia" w:ascii="黑体" w:hAnsi="黑体" w:eastAsia="黑体" w:cs="Helvetica"/>
          <w:sz w:val="32"/>
          <w:szCs w:val="32"/>
        </w:rPr>
        <w:t xml:space="preserve"> </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单位国有资产管理，提高资产使用效益，依据《行政事业单位国有资产管理办法》，制定了沅江市行政审批服务局固定资产管理办法，规定了资产管理部门以及工作人员职责，规范了资产配置、管理、处置等有关程序。</w:t>
      </w:r>
    </w:p>
    <w:p>
      <w:pPr>
        <w:adjustRightInd/>
        <w:snapToGrid/>
        <w:spacing w:after="0" w:line="560" w:lineRule="exact"/>
        <w:ind w:firstLine="640"/>
        <w:jc w:val="both"/>
        <w:rPr>
          <w:rFonts w:ascii="华文楷体" w:hAnsi="华文楷体" w:eastAsia="华文楷体" w:cs="华文楷体"/>
          <w:sz w:val="24"/>
          <w:szCs w:val="24"/>
        </w:rPr>
      </w:pPr>
      <w:r>
        <w:rPr>
          <w:rFonts w:hint="eastAsia" w:ascii="华文楷体" w:hAnsi="华文楷体" w:eastAsia="华文楷体" w:cs="华文楷体"/>
          <w:sz w:val="32"/>
          <w:szCs w:val="32"/>
        </w:rPr>
        <w:t>（一）固定资产的购置</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1.每年按照财政预算经费安排设备购置计划，办公室根据当年办公设备购置需要，与资金计划衔接，制订固定资产购置计划，经领导审定批准后实施。</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2.属政府采购范围内的固定资产，不得自行采购。先由业务股室填报设备政府采购申请表，再由综合股根据经费来源，向财政政府采购中心办理购置、结算手续。</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3.不属于政府采购范围的固定资产，应在进行广泛的市场询价基础上择优购置。</w:t>
      </w:r>
    </w:p>
    <w:p>
      <w:pPr>
        <w:shd w:val="clear" w:color="auto" w:fill="FFFFFF"/>
        <w:adjustRightInd/>
        <w:snapToGrid/>
        <w:spacing w:after="0" w:line="560" w:lineRule="exact"/>
        <w:ind w:firstLine="640"/>
        <w:jc w:val="both"/>
        <w:rPr>
          <w:rFonts w:ascii="华文楷体" w:hAnsi="华文楷体" w:eastAsia="华文楷体" w:cs="华文楷体"/>
          <w:sz w:val="32"/>
          <w:szCs w:val="32"/>
          <w:shd w:val="clear" w:color="auto" w:fill="FFFFFF"/>
        </w:rPr>
      </w:pPr>
      <w:r>
        <w:rPr>
          <w:rFonts w:hint="eastAsia" w:ascii="华文楷体" w:hAnsi="华文楷体" w:eastAsia="华文楷体" w:cs="华文楷体"/>
          <w:sz w:val="32"/>
          <w:szCs w:val="32"/>
        </w:rPr>
        <w:t>（二） 固定资产的验收、保管、使用（包括借用、调拨）、报废</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购入的固定资产，应先做好验收工作。由使用部门及使用人验收，验收人员严格把关，对所验固定资产的数量、质量、附件、资料等认真检查。经股室分管领导签署意见登记备案后，连同发票交综合股登记核算。</w:t>
      </w:r>
    </w:p>
    <w:p>
      <w:pPr>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使用的固定资产，领用及保管要落实使用责任人。贵重财产除安排专人保管外，还要落实安全保管措施。股室负责人是本股室固定资产管理的第一责任人。固定资产外借必须经股室分管领导批准，未经批准不得随意转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3．固定资产变更使用管理部门，必须经综合股同意并办理相关手续。</w:t>
      </w:r>
    </w:p>
    <w:p>
      <w:pPr>
        <w:shd w:val="clear" w:color="auto" w:fill="FFFFFF"/>
        <w:adjustRightInd/>
        <w:snapToGrid/>
        <w:spacing w:after="0" w:line="560" w:lineRule="exact"/>
        <w:ind w:firstLine="640"/>
        <w:jc w:val="both"/>
        <w:rPr>
          <w:rFonts w:ascii="华文楷体" w:hAnsi="华文楷体" w:eastAsia="华文楷体" w:cs="华文楷体"/>
          <w:sz w:val="24"/>
          <w:szCs w:val="24"/>
        </w:rPr>
      </w:pPr>
      <w:r>
        <w:rPr>
          <w:rFonts w:hint="eastAsia" w:ascii="华文楷体" w:hAnsi="华文楷体" w:eastAsia="华文楷体" w:cs="华文楷体"/>
          <w:sz w:val="32"/>
          <w:szCs w:val="32"/>
        </w:rPr>
        <w:t>（三）固定资产处置</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_GB2312" w:hAnsi="仿宋_GB2312" w:eastAsia="仿宋_GB2312" w:cs="仿宋_GB2312"/>
          <w:sz w:val="32"/>
          <w:szCs w:val="32"/>
        </w:rPr>
        <w:t>固定资产的减少变动（调出、变卖、盘亏、报废、丢失、损坏）都必须按规定履行报批手续，由综合股统一进行处理，所得资金交中心财务入账，要履行国有资产报批程序和手续，上报财政审批、备案。 　　</w:t>
      </w:r>
      <w:r>
        <w:rPr>
          <w:rFonts w:hint="eastAsia" w:ascii="仿宋" w:hAnsi="仿宋" w:eastAsia="仿宋" w:cs="Helvetica"/>
          <w:sz w:val="32"/>
          <w:szCs w:val="32"/>
        </w:rPr>
        <w:t>　　　　　　　　　　　</w:t>
      </w:r>
    </w:p>
    <w:p>
      <w:pPr>
        <w:shd w:val="clear" w:color="auto" w:fill="FFFFFF"/>
        <w:adjustRightInd/>
        <w:snapToGrid/>
        <w:spacing w:after="0" w:line="560" w:lineRule="exact"/>
        <w:ind w:firstLine="640"/>
        <w:jc w:val="both"/>
        <w:rPr>
          <w:rFonts w:ascii="华文楷体" w:hAnsi="华文楷体" w:eastAsia="华文楷体" w:cs="华文楷体"/>
          <w:sz w:val="32"/>
          <w:szCs w:val="32"/>
        </w:rPr>
      </w:pPr>
      <w:r>
        <w:rPr>
          <w:rFonts w:hint="eastAsia" w:ascii="华文楷体" w:hAnsi="华文楷体" w:eastAsia="华文楷体" w:cs="华文楷体"/>
          <w:sz w:val="32"/>
          <w:szCs w:val="32"/>
        </w:rPr>
        <w:t>（四）固定资产的清查</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仿宋_GB2312" w:hAnsi="仿宋_GB2312" w:eastAsia="仿宋_GB2312" w:cs="仿宋_GB2312"/>
          <w:sz w:val="32"/>
          <w:szCs w:val="32"/>
        </w:rPr>
        <w:t>　坚持固定资产定期清理、清查制度，使用的固定资产应每年自查一次，每两年全面清查一次，做到账物相符。</w:t>
      </w:r>
      <w:r>
        <w:rPr>
          <w:rFonts w:hint="eastAsia" w:ascii="仿宋" w:hAnsi="仿宋" w:eastAsia="仿宋" w:cs="Helvetica"/>
          <w:sz w:val="32"/>
          <w:szCs w:val="32"/>
        </w:rPr>
        <w:t xml:space="preserve"> </w:t>
      </w:r>
    </w:p>
    <w:p>
      <w:pPr>
        <w:shd w:val="clear" w:color="auto" w:fill="FFFFFF"/>
        <w:adjustRightInd/>
        <w:snapToGrid/>
        <w:spacing w:after="0" w:line="560" w:lineRule="exact"/>
        <w:ind w:firstLine="640"/>
        <w:jc w:val="both"/>
        <w:rPr>
          <w:rFonts w:ascii="Helvetica" w:hAnsi="Helvetica" w:eastAsia="宋体" w:cs="Helvetica"/>
          <w:sz w:val="24"/>
          <w:szCs w:val="24"/>
        </w:rPr>
      </w:pPr>
      <w:r>
        <w:rPr>
          <w:rFonts w:hint="eastAsia" w:ascii="黑体" w:hAnsi="黑体" w:eastAsia="黑体" w:cs="Helvetica"/>
          <w:sz w:val="32"/>
          <w:szCs w:val="32"/>
          <w:shd w:val="clear" w:color="auto" w:fill="FFFFFF"/>
        </w:rPr>
        <w:t>五、单位整体支出绩效情况</w:t>
      </w:r>
      <w:r>
        <w:rPr>
          <w:rFonts w:hint="eastAsia" w:ascii="黑体" w:hAnsi="黑体" w:eastAsia="黑体" w:cs="Helvetica"/>
          <w:sz w:val="32"/>
          <w:szCs w:val="32"/>
        </w:rPr>
        <w:t xml:space="preserve"> </w:t>
      </w:r>
    </w:p>
    <w:p>
      <w:pPr>
        <w:shd w:val="clear" w:color="auto" w:fill="FFFFFF"/>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2021年部门支出在满足中心各项工作的正常开展，确保各项计划和任务的完成。 </w:t>
      </w:r>
    </w:p>
    <w:p>
      <w:pPr>
        <w:shd w:val="clear" w:color="auto" w:fill="FFFFFF"/>
        <w:adjustRightInd/>
        <w:snapToGrid/>
        <w:spacing w:after="0" w:line="560" w:lineRule="exact"/>
        <w:ind w:firstLine="640"/>
        <w:jc w:val="both"/>
        <w:rPr>
          <w:rFonts w:ascii="华文楷体" w:hAnsi="华文楷体" w:eastAsia="华文楷体" w:cs="华文楷体"/>
          <w:sz w:val="24"/>
          <w:szCs w:val="24"/>
        </w:rPr>
      </w:pPr>
      <w:r>
        <w:rPr>
          <w:rFonts w:hint="eastAsia" w:ascii="华文楷体" w:hAnsi="华文楷体" w:eastAsia="华文楷体" w:cs="华文楷体"/>
          <w:sz w:val="32"/>
          <w:szCs w:val="32"/>
        </w:rPr>
        <w:t>（一）经济性方面</w:t>
      </w:r>
    </w:p>
    <w:p>
      <w:pPr>
        <w:shd w:val="clear" w:color="auto" w:fill="FFFFFF"/>
        <w:adjustRightInd/>
        <w:snapToGrid/>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按照部门预算进行成本控制，单位的日常性工作开支严格按预算执行，其中：公务接待费1.038万元，全部控制在厉行节约指标数内。专项支出按财政部门下达的计划实施，全年没有项目超支。重点确保中心机关工作人员工资等及时足额发放和其他各项工作正常运转。</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华文楷体" w:hAnsi="华文楷体" w:eastAsia="华文楷体" w:cs="华文楷体"/>
          <w:sz w:val="24"/>
          <w:szCs w:val="24"/>
        </w:rPr>
      </w:pPr>
      <w:r>
        <w:rPr>
          <w:rFonts w:hint="eastAsia" w:ascii="华文楷体" w:hAnsi="华文楷体" w:eastAsia="华文楷体" w:cs="华文楷体"/>
          <w:sz w:val="32"/>
          <w:szCs w:val="32"/>
        </w:rPr>
        <w:t>（二）效率性方面</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进一步提高了政务服务水平，优化了营商政务环境，群众的体验感、满意度大幅提升。</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（三）有效性方面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部门支出的有效性主要体现在局机关工作成效上，</w:t>
      </w:r>
      <w:r>
        <w:rPr>
          <w:rFonts w:hint="eastAsia" w:ascii="仿宋_GB2312" w:hAnsi="仿宋_GB2312" w:eastAsia="仿宋_GB2312" w:cs="仿宋_GB2312"/>
          <w:sz w:val="32"/>
          <w:szCs w:val="32"/>
          <w:lang w:val="en-US" w:eastAsia="zh-CN"/>
        </w:rPr>
        <w:t>深入推进“放管服”重点任务，扎实推进“一件事一次办”改革</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color w:val="000000"/>
          <w:sz w:val="32"/>
          <w:szCs w:val="32"/>
          <w:lang w:val="en-US" w:eastAsia="zh-CN"/>
        </w:rPr>
        <w:t>通过“一件事”流程再造，</w:t>
      </w:r>
      <w:r>
        <w:rPr>
          <w:rFonts w:hint="eastAsia" w:ascii="仿宋_GB2312" w:hAnsi="仿宋_GB2312" w:eastAsia="仿宋_GB2312" w:cs="仿宋_GB2312"/>
          <w:b w:val="0"/>
          <w:bCs w:val="0"/>
          <w:color w:val="000000"/>
          <w:sz w:val="32"/>
          <w:szCs w:val="32"/>
        </w:rPr>
        <w:t>减少</w:t>
      </w:r>
      <w:r>
        <w:rPr>
          <w:rFonts w:hint="eastAsia" w:ascii="仿宋_GB2312" w:hAnsi="仿宋_GB2312" w:eastAsia="仿宋_GB2312" w:cs="仿宋_GB2312"/>
          <w:b w:val="0"/>
          <w:bCs w:val="0"/>
          <w:color w:val="000000"/>
          <w:sz w:val="32"/>
          <w:szCs w:val="32"/>
          <w:lang w:val="en-US" w:eastAsia="zh-CN"/>
        </w:rPr>
        <w:t>审批</w:t>
      </w:r>
      <w:r>
        <w:rPr>
          <w:rFonts w:hint="eastAsia" w:ascii="仿宋_GB2312" w:hAnsi="仿宋_GB2312" w:eastAsia="仿宋_GB2312" w:cs="仿宋_GB2312"/>
          <w:b w:val="0"/>
          <w:bCs w:val="0"/>
          <w:kern w:val="2"/>
          <w:sz w:val="32"/>
          <w:szCs w:val="32"/>
        </w:rPr>
        <w:t>环节</w:t>
      </w:r>
      <w:r>
        <w:rPr>
          <w:rFonts w:hint="eastAsia" w:ascii="仿宋_GB2312" w:hAnsi="仿宋_GB2312" w:eastAsia="仿宋_GB2312" w:cs="仿宋_GB2312"/>
          <w:kern w:val="2"/>
          <w:sz w:val="32"/>
          <w:szCs w:val="32"/>
        </w:rPr>
        <w:t>1250个，减少送审材料560份，减少办理时间50%以上</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进一步提升</w:t>
      </w:r>
      <w:r>
        <w:rPr>
          <w:rFonts w:hint="eastAsia" w:ascii="仿宋_GB2312" w:hAnsi="仿宋_GB2312" w:eastAsia="仿宋_GB2312" w:cs="仿宋_GB2312"/>
          <w:sz w:val="32"/>
          <w:szCs w:val="32"/>
          <w:lang w:val="en-US" w:eastAsia="zh-CN"/>
        </w:rPr>
        <w:t>线上线下</w:t>
      </w:r>
      <w:r>
        <w:rPr>
          <w:rFonts w:hint="eastAsia" w:ascii="仿宋_GB2312" w:hAnsi="仿宋_GB2312" w:eastAsia="仿宋_GB2312" w:cs="仿宋_GB2312"/>
          <w:sz w:val="32"/>
          <w:szCs w:val="32"/>
        </w:rPr>
        <w:t>政务服务能力，</w:t>
      </w:r>
      <w:r>
        <w:rPr>
          <w:rFonts w:hint="eastAsia" w:ascii="仿宋_GB2312" w:hAnsi="仿宋_GB2312" w:eastAsia="仿宋_GB2312" w:cs="仿宋_GB2312"/>
          <w:sz w:val="32"/>
          <w:szCs w:val="32"/>
          <w:lang w:val="en-US" w:eastAsia="zh-CN"/>
        </w:rPr>
        <w:t>推进政务服务大厅精细化管理，推进“清廉大厅”建设，</w:t>
      </w:r>
      <w:r>
        <w:rPr>
          <w:rFonts w:hint="eastAsia" w:ascii="仿宋_GB2312" w:hAnsi="仿宋_GB2312" w:eastAsia="仿宋_GB2312" w:cs="仿宋_GB2312"/>
          <w:sz w:val="32"/>
          <w:szCs w:val="32"/>
        </w:rPr>
        <w:t>持续优化了营商政务环境，提升了政务</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大厅管理运行的进准性和实效性，荣获</w:t>
      </w:r>
      <w:r>
        <w:rPr>
          <w:rFonts w:hint="eastAsia" w:ascii="仿宋_GB2312" w:hAnsi="仿宋_GB2312" w:eastAsia="仿宋_GB2312" w:cs="仿宋_GB2312"/>
          <w:sz w:val="32"/>
          <w:szCs w:val="32"/>
          <w:lang w:val="en-US" w:eastAsia="zh-CN"/>
        </w:rPr>
        <w:t>沅江市</w:t>
      </w:r>
      <w:r>
        <w:rPr>
          <w:rFonts w:hint="eastAsia" w:ascii="仿宋_GB2312" w:hAnsi="仿宋_GB2312" w:eastAsia="仿宋_GB2312" w:cs="仿宋_GB2312"/>
          <w:sz w:val="32"/>
          <w:szCs w:val="32"/>
        </w:rPr>
        <w:t>优化营商环境先进单位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沅江市创建工作先进单位</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2022年全省营商环境评价政务服务指标排位26名，进入省优秀行列，获得益阳市“放管服”和“一件事一次办”改革真抓实干督查激励</w:t>
      </w:r>
      <w:r>
        <w:rPr>
          <w:rFonts w:hint="eastAsia" w:ascii="仿宋_GB2312" w:hAnsi="仿宋_GB2312" w:eastAsia="仿宋_GB2312" w:cs="仿宋_GB2312"/>
          <w:sz w:val="32"/>
          <w:szCs w:val="32"/>
        </w:rPr>
        <w:t>等荣誉。</w:t>
      </w:r>
    </w:p>
    <w:p>
      <w:pPr>
        <w:keepNext w:val="0"/>
        <w:keepLines w:val="0"/>
        <w:pageBreakBefore w:val="0"/>
        <w:kinsoku/>
        <w:wordWrap/>
        <w:overflowPunct/>
        <w:topLinePunct w:val="0"/>
        <w:autoSpaceDE/>
        <w:autoSpaceDN/>
        <w:bidi w:val="0"/>
        <w:adjustRightInd/>
        <w:snapToGrid/>
        <w:spacing w:after="0" w:line="560" w:lineRule="exact"/>
        <w:ind w:firstLine="640"/>
        <w:jc w:val="both"/>
        <w:textAlignment w:val="auto"/>
        <w:rPr>
          <w:rFonts w:ascii="Helvetica" w:hAnsi="Helvetica" w:eastAsia="宋体" w:cs="Helvetica"/>
          <w:sz w:val="24"/>
          <w:szCs w:val="24"/>
        </w:rPr>
      </w:pPr>
      <w:r>
        <w:rPr>
          <w:rFonts w:hint="eastAsia" w:ascii="黑体" w:hAnsi="黑体" w:eastAsia="黑体" w:cs="Helvetica"/>
          <w:sz w:val="32"/>
          <w:szCs w:val="32"/>
        </w:rPr>
        <w:t>五、存在的主要问题及有关建议</w:t>
      </w:r>
    </w:p>
    <w:p>
      <w:pPr>
        <w:keepNext w:val="0"/>
        <w:keepLines w:val="0"/>
        <w:pageBreakBefore w:val="0"/>
        <w:shd w:val="clear" w:color="auto" w:fill="FFFFFF"/>
        <w:kinsoku/>
        <w:wordWrap/>
        <w:overflowPunct/>
        <w:topLinePunct w:val="0"/>
        <w:autoSpaceDE/>
        <w:autoSpaceDN/>
        <w:bidi w:val="0"/>
        <w:adjustRightInd/>
        <w:snapToGrid/>
        <w:spacing w:after="0"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随着我市“智慧政务”、纵深“放管服”“一件事一次办”改革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政务大厅运行管理精细化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等工作的实施，全市政务管理服务工作要求越来越高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单位无任何创收来源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建议财政预算加大对我局公用经费的安排，弥补单位支出的刚性所需。</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MjAyODRkOWZiMWU1ZDhkZDc5MDU2OWNhNjM0NTQifQ=="/>
  </w:docVars>
  <w:rsids>
    <w:rsidRoot w:val="00D31D50"/>
    <w:rsid w:val="0001121C"/>
    <w:rsid w:val="00060701"/>
    <w:rsid w:val="001A3354"/>
    <w:rsid w:val="00323B43"/>
    <w:rsid w:val="003D37D8"/>
    <w:rsid w:val="00426133"/>
    <w:rsid w:val="004358AB"/>
    <w:rsid w:val="00436C6C"/>
    <w:rsid w:val="00472B1E"/>
    <w:rsid w:val="005A1785"/>
    <w:rsid w:val="008B7726"/>
    <w:rsid w:val="00D14BC0"/>
    <w:rsid w:val="00D31D50"/>
    <w:rsid w:val="00E536A5"/>
    <w:rsid w:val="060D0E01"/>
    <w:rsid w:val="089A2898"/>
    <w:rsid w:val="0C5B233E"/>
    <w:rsid w:val="366A1F90"/>
    <w:rsid w:val="4F207976"/>
    <w:rsid w:val="53334A48"/>
    <w:rsid w:val="5E411C50"/>
    <w:rsid w:val="6CB2505C"/>
    <w:rsid w:val="71C11019"/>
    <w:rsid w:val="7C645C2C"/>
    <w:rsid w:val="7F3E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2310</Words>
  <Characters>2416</Characters>
  <Lines>17</Lines>
  <Paragraphs>4</Paragraphs>
  <TotalTime>9</TotalTime>
  <ScaleCrop>false</ScaleCrop>
  <LinksUpToDate>false</LinksUpToDate>
  <CharactersWithSpaces>2446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2023-04-03T02:29:00Z</dcterms:created>
  <dc:creator>admin</dc:creator>
  <cp:lastModifiedBy>孙泽宇</cp:lastModifiedBy>
  <cp:lastPrinted>2023-04-10T01:46:00Z</cp:lastPrinted>
  <dcterms:modified xsi:type="dcterms:W3CDTF">2023-11-09T02:19:32Z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5C7FB43098424955AA85F099233983E6_13</vt:lpwstr>
  </property>
</Properties>
</file>