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bookmarkStart w:id="3" w:name="_GoBack"/>
      <w:bookmarkEnd w:id="3"/>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0"/>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沅江市全民健身服务中心</w:t>
      </w: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0"/>
        <w:jc w:val="center"/>
        <w:rPr>
          <w:rFonts w:hint="eastAsia" w:ascii="方正小标宋_GBK" w:hAnsi="方正小标宋_GBK" w:eastAsia="方正小标宋_GBK" w:cs="方正小标宋_GBK"/>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both"/>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沅江市全民健身服务中心</w:t>
      </w: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pStyle w:val="5"/>
        <w:spacing w:before="0" w:beforeAutospacing="0" w:after="0" w:afterAutospacing="0" w:line="500" w:lineRule="exact"/>
        <w:ind w:firstLine="640" w:firstLineChars="200"/>
        <w:rPr>
          <w:rFonts w:ascii="宋体" w:hAnsi="宋体"/>
          <w:sz w:val="32"/>
          <w:szCs w:val="32"/>
        </w:rPr>
      </w:pPr>
      <w:r>
        <w:rPr>
          <w:rFonts w:hint="eastAsia" w:ascii="宋体" w:hAnsi="宋体"/>
          <w:sz w:val="32"/>
          <w:szCs w:val="32"/>
        </w:rPr>
        <w:t>（一）贯彻执行国家、省、市有关全民健身服务工作的方针政策，研究拟订县级全民健身服务工作规划、措施并组织实施。</w:t>
      </w:r>
    </w:p>
    <w:p>
      <w:pPr>
        <w:pStyle w:val="5"/>
        <w:spacing w:before="0" w:beforeAutospacing="0" w:after="0" w:afterAutospacing="0" w:line="500" w:lineRule="exact"/>
        <w:ind w:firstLine="640" w:firstLineChars="200"/>
        <w:rPr>
          <w:rFonts w:hint="eastAsia" w:ascii="宋体" w:hAnsi="宋体"/>
          <w:sz w:val="32"/>
          <w:szCs w:val="32"/>
        </w:rPr>
      </w:pPr>
      <w:r>
        <w:rPr>
          <w:rFonts w:hint="eastAsia" w:ascii="宋体" w:hAnsi="宋体"/>
          <w:sz w:val="32"/>
          <w:szCs w:val="32"/>
        </w:rPr>
        <w:t>（二）负责所属公共体育场馆和设施的管理和维护以及向社会免费、低收费开放工作，为公众开展体育健身活动提供服务。</w:t>
      </w:r>
    </w:p>
    <w:p>
      <w:pPr>
        <w:pStyle w:val="5"/>
        <w:spacing w:before="0" w:beforeAutospacing="0" w:after="0" w:afterAutospacing="0" w:line="500" w:lineRule="exact"/>
        <w:ind w:firstLine="640" w:firstLineChars="200"/>
        <w:rPr>
          <w:rFonts w:hint="eastAsia" w:ascii="宋体" w:hAnsi="宋体"/>
          <w:sz w:val="32"/>
          <w:szCs w:val="32"/>
        </w:rPr>
      </w:pPr>
      <w:r>
        <w:rPr>
          <w:rFonts w:hint="eastAsia" w:ascii="宋体" w:hAnsi="宋体"/>
          <w:sz w:val="32"/>
          <w:szCs w:val="32"/>
        </w:rPr>
        <w:t>（三）组织开展群众性体育竞赛；协助组织参加市以上群众性体育竞赛。</w:t>
      </w:r>
    </w:p>
    <w:p>
      <w:pPr>
        <w:pStyle w:val="5"/>
        <w:spacing w:before="0" w:beforeAutospacing="0" w:after="0" w:afterAutospacing="0" w:line="500" w:lineRule="exact"/>
        <w:ind w:firstLine="640" w:firstLineChars="200"/>
        <w:rPr>
          <w:rFonts w:hint="eastAsia" w:ascii="宋体" w:hAnsi="宋体"/>
          <w:sz w:val="32"/>
          <w:szCs w:val="32"/>
        </w:rPr>
      </w:pPr>
      <w:r>
        <w:rPr>
          <w:rFonts w:hint="eastAsia" w:ascii="宋体" w:hAnsi="宋体"/>
          <w:sz w:val="32"/>
          <w:szCs w:val="32"/>
        </w:rPr>
        <w:t>（四）宣传全民健身政策、法规，普及推广体育健身科普知识；开展健身指导咨询，指导各类人群开展健身活动；举办各类体育运动健身知识和技能培训，承担全县体育行业的职业培训任务。</w:t>
      </w:r>
    </w:p>
    <w:p>
      <w:pPr>
        <w:pStyle w:val="5"/>
        <w:spacing w:before="0" w:beforeAutospacing="0" w:after="0" w:afterAutospacing="0" w:line="500" w:lineRule="exact"/>
        <w:ind w:firstLine="640" w:firstLineChars="200"/>
        <w:rPr>
          <w:rFonts w:hint="eastAsia" w:ascii="宋体" w:hAnsi="宋体"/>
          <w:sz w:val="32"/>
          <w:szCs w:val="32"/>
        </w:rPr>
      </w:pPr>
      <w:r>
        <w:rPr>
          <w:rFonts w:hint="eastAsia" w:ascii="宋体" w:hAnsi="宋体"/>
          <w:sz w:val="32"/>
          <w:szCs w:val="32"/>
        </w:rPr>
        <w:t>（五）负责开展全市公民体质监测工作。</w:t>
      </w:r>
    </w:p>
    <w:p>
      <w:pPr>
        <w:pStyle w:val="5"/>
        <w:spacing w:before="0" w:beforeAutospacing="0" w:after="0" w:afterAutospacing="0" w:line="500" w:lineRule="exact"/>
        <w:ind w:firstLine="640" w:firstLineChars="200"/>
        <w:rPr>
          <w:rFonts w:hint="eastAsia" w:ascii="宋体" w:hAnsi="宋体"/>
          <w:sz w:val="32"/>
          <w:szCs w:val="32"/>
        </w:rPr>
      </w:pPr>
      <w:r>
        <w:rPr>
          <w:rFonts w:hint="eastAsia" w:ascii="宋体" w:hAnsi="宋体"/>
          <w:sz w:val="32"/>
          <w:szCs w:val="32"/>
        </w:rPr>
        <w:t>（六）承办市委、市政府和市教文体局交办的其他事项。</w:t>
      </w:r>
    </w:p>
    <w:p>
      <w:pPr>
        <w:pStyle w:val="5"/>
        <w:spacing w:before="0" w:beforeAutospacing="0" w:after="0" w:afterAutospacing="0" w:line="500" w:lineRule="exact"/>
        <w:ind w:firstLine="640" w:firstLineChars="200"/>
        <w:rPr>
          <w:rFonts w:hint="eastAsia" w:ascii="宋体" w:hAnsi="宋体"/>
          <w:sz w:val="32"/>
          <w:szCs w:val="32"/>
        </w:rPr>
      </w:pP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pStyle w:val="5"/>
        <w:spacing w:before="0" w:beforeAutospacing="0" w:after="0" w:afterAutospacing="0" w:line="500" w:lineRule="exact"/>
        <w:ind w:firstLine="640" w:firstLineChars="200"/>
        <w:rPr>
          <w:rFonts w:ascii="宋体" w:hAnsi="宋体"/>
          <w:sz w:val="32"/>
          <w:szCs w:val="32"/>
        </w:rPr>
      </w:pPr>
      <w:r>
        <w:rPr>
          <w:rFonts w:hint="eastAsia" w:ascii="宋体" w:hAnsi="宋体"/>
          <w:bCs/>
          <w:sz w:val="32"/>
          <w:szCs w:val="32"/>
        </w:rPr>
        <w:t>（一）内设机构设置。</w:t>
      </w:r>
      <w:r>
        <w:rPr>
          <w:rFonts w:hint="eastAsia" w:ascii="宋体" w:hAnsi="宋体"/>
          <w:sz w:val="32"/>
          <w:szCs w:val="32"/>
        </w:rPr>
        <w:t>沅江市全民健身服务中心内设2个股室，分别为办公室、全民健身服务股</w:t>
      </w:r>
      <w:r>
        <w:rPr>
          <w:rFonts w:hint="eastAsia" w:ascii="宋体" w:hAnsi="宋体"/>
          <w:sz w:val="32"/>
          <w:szCs w:val="32"/>
          <w:shd w:val="clear" w:color="auto" w:fill="FFFFFF"/>
        </w:rPr>
        <w:t>。</w:t>
      </w:r>
    </w:p>
    <w:p>
      <w:pPr>
        <w:widowControl/>
        <w:spacing w:line="500" w:lineRule="exact"/>
        <w:ind w:firstLine="480" w:firstLineChars="150"/>
        <w:jc w:val="left"/>
        <w:rPr>
          <w:rFonts w:hint="eastAsia" w:ascii="仿宋_GB2312" w:hAnsi="宋体" w:eastAsia="仿宋_GB2312"/>
          <w:sz w:val="28"/>
          <w:szCs w:val="28"/>
        </w:rPr>
      </w:pPr>
      <w:r>
        <w:rPr>
          <w:rFonts w:hint="eastAsia" w:ascii="宋体" w:hAnsi="宋体"/>
          <w:bCs/>
          <w:kern w:val="0"/>
          <w:sz w:val="32"/>
          <w:szCs w:val="32"/>
        </w:rPr>
        <w:t>（二）决算单位构成。沅江市全民健身服务中心202</w:t>
      </w:r>
      <w:r>
        <w:rPr>
          <w:rFonts w:hint="eastAsia" w:ascii="宋体" w:hAnsi="宋体"/>
          <w:bCs/>
          <w:kern w:val="0"/>
          <w:sz w:val="32"/>
          <w:szCs w:val="32"/>
          <w:lang w:val="en-US" w:eastAsia="zh-CN"/>
        </w:rPr>
        <w:t>2</w:t>
      </w:r>
      <w:r>
        <w:rPr>
          <w:rFonts w:hint="eastAsia" w:ascii="宋体" w:hAnsi="宋体"/>
          <w:bCs/>
          <w:kern w:val="0"/>
          <w:sz w:val="32"/>
          <w:szCs w:val="32"/>
        </w:rPr>
        <w:t>年部门决算公开单位1个。</w:t>
      </w:r>
    </w:p>
    <w:p>
      <w:pPr>
        <w:widowControl/>
        <w:spacing w:line="600" w:lineRule="exact"/>
        <w:rPr>
          <w:rFonts w:hint="eastAsia" w:ascii="Times New Roman" w:hAnsi="Times New Roman" w:eastAsia="仿宋_GB2312" w:cs="仿宋_GB2312"/>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0"/>
        <w:jc w:val="center"/>
        <w:rPr>
          <w:rFonts w:hint="eastAsia" w:ascii="方正小标宋_GBK" w:hAnsi="方正小标宋_GBK" w:eastAsia="方正小标宋_GBK" w:cs="方正小标宋_GBK"/>
          <w:sz w:val="84"/>
          <w:szCs w:val="84"/>
        </w:rPr>
      </w:pPr>
    </w:p>
    <w:p>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5428" w:type="dxa"/>
        <w:tblInd w:w="0" w:type="dxa"/>
        <w:tblLayout w:type="fixed"/>
        <w:tblCellMar>
          <w:top w:w="0" w:type="dxa"/>
          <w:left w:w="0" w:type="dxa"/>
          <w:bottom w:w="0" w:type="dxa"/>
          <w:right w:w="0" w:type="dxa"/>
        </w:tblCellMar>
      </w:tblPr>
      <w:tblGrid>
        <w:gridCol w:w="57"/>
        <w:gridCol w:w="772"/>
        <w:gridCol w:w="6720"/>
        <w:gridCol w:w="1390"/>
        <w:gridCol w:w="1390"/>
        <w:gridCol w:w="772"/>
        <w:gridCol w:w="772"/>
        <w:gridCol w:w="772"/>
        <w:gridCol w:w="773"/>
        <w:gridCol w:w="2010"/>
      </w:tblGrid>
      <w:tr>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9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9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64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200.94</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58.5</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七、文化旅游体育与传媒支出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173.76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十九、住房保障支出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二十三、其他支出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259.44</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259.44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259.44</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259.44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7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2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67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77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754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3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77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77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77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0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2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672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2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72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rPr>
          <w:trHeight w:val="450" w:hRule="atLeast"/>
        </w:trPr>
        <w:tc>
          <w:tcPr>
            <w:tcW w:w="754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3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7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7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0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754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259.44　</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259.44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201</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right" w:pos="5917"/>
              </w:tabs>
              <w:rPr>
                <w:rFonts w:hint="eastAsia" w:ascii="宋体" w:hAnsi="宋体" w:cs="宋体" w:eastAsiaTheme="minorEastAsia"/>
                <w:sz w:val="24"/>
                <w:szCs w:val="24"/>
                <w:lang w:eastAsia="zh-CN"/>
              </w:rPr>
            </w:pPr>
            <w:r>
              <w:rPr>
                <w:rFonts w:hint="eastAsia"/>
              </w:rPr>
              <w:t>　一般公共服务支出</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15　</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15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　20129</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群众团体事务</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rPr>
              <w:t>15　</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rPr>
              <w:t>15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2012999</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其他群众团体事务支出</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15　</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15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207</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文化旅游体育与传媒支出</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173.76　</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173.76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20701</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文化和旅游</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0.83　</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0.83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2070101</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行政运行</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0.83　</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rPr>
              <w:t>0.83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20703</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体育</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172.93</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172.93</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2070301</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 xml:space="preserve">  行政运行</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114.77</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114.77</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2070302</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 xml:space="preserve">  一般行政管理事务</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48.6</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48.6</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2070308</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 xml:space="preserve">  群众体育</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9.56</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9.56</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社会保障和就业支出</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3.88</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3.88</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20808</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抚恤</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3.88</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3.88</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2080801</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 xml:space="preserve">  死亡抚恤</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3.88</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3.88</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221</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住房保障支出</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8.3</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8.3</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22102</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住房改革支出</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8.3</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8.3</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2210201</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 xml:space="preserve">  住房公积金</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8.3</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8.3</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229</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其他支出</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58.5</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58.5</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22960</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彩票公益金安排的支出</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58.5</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58.5</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2296003</w:t>
            </w:r>
          </w:p>
        </w:tc>
        <w:tc>
          <w:tcPr>
            <w:tcW w:w="67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 xml:space="preserve">  用于体育事业的彩票公益金支出</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58.5</w:t>
            </w:r>
          </w:p>
        </w:tc>
        <w:tc>
          <w:tcPr>
            <w:tcW w:w="13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rPr>
              <w:t>58.5</w:t>
            </w: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259.44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133.78</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125.66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一般公共服务支出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20129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群众团体事务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2012999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其他群众团体事务支出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207</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文化旅游体育与传媒支出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173.76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121.6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52.16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20701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文化和旅游</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0.83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0.83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2070101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行政运行</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0.83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0.83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20703</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体育</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172.93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120.77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52.16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2070301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行政运行</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114.77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114.77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2070302</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一般行政管理事务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48.6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48.6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2070308</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群众体育</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20808</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抚恤</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3.88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3.88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2080801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死亡抚恤</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3.88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3.88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221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住房保障支出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22102</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住房改革支出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2210201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住房公积金</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229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其他支出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58.5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58.5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22960</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彩票公益金安排的支出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58.5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58.5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2296003</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用于体育事业的彩票公益金支出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58.5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58.5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200.94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58.5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173.76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173.76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3.88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259.44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259.44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200.94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58.5</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259.44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259.44</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200.94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58.5</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200.94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133.78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67.16</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20129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群众团体事务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2012999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其他群众团体事务支出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173.76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121.6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52.16</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20701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文化和旅游</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0.83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0.83</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2070101</w:t>
            </w: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0.83</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0.83</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20703</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体育</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172.93</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120.77</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52.16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2070301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114.77</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114.77</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2070302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48.6</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2070308</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群众体育</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9.56</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3.88</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3.88</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20808</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抚恤</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3.88</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3.88</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死亡抚恤</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3.88</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3.88</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8.3</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8.3</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8.3</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8.3</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8.3</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fixed"/>
        <w:tblCellMar>
          <w:top w:w="0" w:type="dxa"/>
          <w:left w:w="108" w:type="dxa"/>
          <w:bottom w:w="0" w:type="dxa"/>
          <w:right w:w="108" w:type="dxa"/>
        </w:tblCellMar>
      </w:tblPr>
      <w:tblGrid>
        <w:gridCol w:w="93"/>
        <w:gridCol w:w="898"/>
        <w:gridCol w:w="240"/>
        <w:gridCol w:w="94"/>
        <w:gridCol w:w="94"/>
        <w:gridCol w:w="701"/>
        <w:gridCol w:w="496"/>
        <w:gridCol w:w="1796"/>
        <w:gridCol w:w="110"/>
        <w:gridCol w:w="202"/>
        <w:gridCol w:w="953"/>
        <w:gridCol w:w="1013"/>
        <w:gridCol w:w="306"/>
        <w:gridCol w:w="731"/>
        <w:gridCol w:w="1248"/>
        <w:gridCol w:w="112"/>
        <w:gridCol w:w="865"/>
        <w:gridCol w:w="873"/>
        <w:gridCol w:w="217"/>
        <w:gridCol w:w="139"/>
        <w:gridCol w:w="2091"/>
        <w:gridCol w:w="1330"/>
        <w:gridCol w:w="611"/>
        <w:gridCol w:w="150"/>
        <w:gridCol w:w="251"/>
      </w:tblGrid>
      <w:tr>
        <w:tblPrEx>
          <w:tblCellMar>
            <w:top w:w="0" w:type="dxa"/>
            <w:left w:w="108" w:type="dxa"/>
            <w:bottom w:w="0" w:type="dxa"/>
            <w:right w:w="108" w:type="dxa"/>
          </w:tblCellMar>
        </w:tblPrEx>
        <w:trPr>
          <w:trHeight w:val="113" w:hRule="atLeast"/>
        </w:trPr>
        <w:tc>
          <w:tcPr>
            <w:tcW w:w="15614" w:type="dxa"/>
            <w:gridSpan w:val="25"/>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9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5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7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1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114.08</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13.64</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42.95</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1.42</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2.99</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18.85</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2.41</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22.12</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9.59</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0.95</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0.32</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0.16</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4.93</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1.01</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1.04</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8.93</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6.05</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4.58</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0.04</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6.28</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1.27</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1.47</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97"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7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2.49</w:t>
            </w:r>
          </w:p>
        </w:tc>
        <w:tc>
          <w:tcPr>
            <w:tcW w:w="8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77"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522"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120.14</w:t>
            </w:r>
          </w:p>
        </w:tc>
        <w:tc>
          <w:tcPr>
            <w:tcW w:w="8925"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1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13.64</w:t>
            </w:r>
          </w:p>
        </w:tc>
      </w:tr>
      <w:tr>
        <w:tblPrEx>
          <w:tblCellMar>
            <w:top w:w="0" w:type="dxa"/>
            <w:left w:w="108" w:type="dxa"/>
            <w:bottom w:w="0" w:type="dxa"/>
            <w:right w:w="108" w:type="dxa"/>
          </w:tblCellMar>
        </w:tblPrEx>
        <w:trPr>
          <w:trHeight w:val="284" w:hRule="exact"/>
        </w:trPr>
        <w:tc>
          <w:tcPr>
            <w:tcW w:w="15614" w:type="dxa"/>
            <w:gridSpan w:val="2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24"/>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91"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5"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8"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91"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5"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8"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3"/>
                <w:lang w:val="en-US" w:eastAsia="zh-CN" w:bidi="ar"/>
              </w:rPr>
              <w:t xml:space="preserve">   </w:t>
            </w:r>
            <w:r>
              <w:rPr>
                <w:rStyle w:val="14"/>
                <w:lang w:val="en-US" w:eastAsia="zh-CN" w:bidi="ar"/>
              </w:rPr>
              <w:t>目</w:t>
            </w:r>
          </w:p>
        </w:tc>
        <w:tc>
          <w:tcPr>
            <w:tcW w:w="21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58.5</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58.5</w:t>
            </w:r>
          </w:p>
        </w:tc>
        <w:tc>
          <w:tcPr>
            <w:tcW w:w="2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58.5</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w:t>
            </w: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其他支出</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58.5</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58.5</w:t>
            </w:r>
          </w:p>
        </w:tc>
        <w:tc>
          <w:tcPr>
            <w:tcW w:w="2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58.5</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22960</w:t>
            </w: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彩票公益金安排的支出</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58.5</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58.5</w:t>
            </w:r>
          </w:p>
        </w:tc>
        <w:tc>
          <w:tcPr>
            <w:tcW w:w="2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58.5</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2296003</w:t>
            </w: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  用于体育事业的彩票公益金支出</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58.5</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58.5</w:t>
            </w:r>
          </w:p>
        </w:tc>
        <w:tc>
          <w:tcPr>
            <w:tcW w:w="2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58.5</w:t>
            </w: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2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963" w:hRule="atLeast"/>
        </w:trPr>
        <w:tc>
          <w:tcPr>
            <w:tcW w:w="15120" w:type="dxa"/>
            <w:gridSpan w:val="2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417" w:hRule="atLeast"/>
        </w:trPr>
        <w:tc>
          <w:tcPr>
            <w:tcW w:w="1326" w:type="dxa"/>
            <w:gridSpan w:val="4"/>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gridSpan w:val="6"/>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gridSpan w:val="5"/>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gridSpan w:val="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417" w:hRule="atLeast"/>
        </w:trPr>
        <w:tc>
          <w:tcPr>
            <w:tcW w:w="1326" w:type="dxa"/>
            <w:gridSpan w:val="4"/>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gridSpan w:val="6"/>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gridSpan w:val="5"/>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gridSpan w:val="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4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5"/>
                <w:lang w:val="en-US" w:eastAsia="zh-CN" w:bidi="ar"/>
              </w:rPr>
              <w:t>目</w:t>
            </w:r>
          </w:p>
        </w:tc>
        <w:tc>
          <w:tcPr>
            <w:tcW w:w="1080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4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4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548" w:hRule="atLeast"/>
        </w:trPr>
        <w:tc>
          <w:tcPr>
            <w:tcW w:w="2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93" w:type="dxa"/>
          <w:wAfter w:w="401" w:type="dxa"/>
          <w:trHeight w:val="976" w:hRule="atLeast"/>
        </w:trPr>
        <w:tc>
          <w:tcPr>
            <w:tcW w:w="15120" w:type="dxa"/>
            <w:gridSpan w:val="2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0"/>
        <w:jc w:val="center"/>
        <w:rPr>
          <w:rFonts w:hint="eastAsia" w:ascii="方正小标宋_GBK" w:hAnsi="方正小标宋_GBK" w:eastAsia="方正小标宋_GBK" w:cs="方正小标宋_GBK"/>
          <w:sz w:val="70"/>
          <w:szCs w:val="70"/>
        </w:rPr>
      </w:pPr>
    </w:p>
    <w:p>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259.44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4.63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体彩经费增加。</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259.44</w:t>
      </w:r>
      <w:r>
        <w:rPr>
          <w:rFonts w:hint="eastAsia" w:ascii="Times New Roman" w:hAnsi="Times New Roman" w:eastAsia="仿宋_GB2312"/>
          <w:sz w:val="32"/>
          <w:szCs w:val="32"/>
        </w:rPr>
        <w:t>其中：财政拨款收入</w:t>
      </w:r>
      <w:r>
        <w:rPr>
          <w:rFonts w:hint="eastAsia" w:ascii="Times New Roman" w:hAnsi="Times New Roman" w:eastAsia="仿宋_GB2312"/>
          <w:sz w:val="32"/>
          <w:szCs w:val="32"/>
          <w:lang w:val="en-US" w:eastAsia="zh-CN"/>
        </w:rPr>
        <w:t>200.94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77.45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政府性基金（体彩资金）58.5万元，占22.55%</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259.44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133.78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51.56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125.66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48.44</w:t>
      </w:r>
      <w:r>
        <w:rPr>
          <w:rFonts w:hint="eastAsia" w:ascii="Times New Roman" w:hAnsi="Times New Roman" w:eastAsia="仿宋_GB2312"/>
          <w:sz w:val="32"/>
          <w:szCs w:val="32"/>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0"/>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259.44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4.63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体彩经费增加。</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259.44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38.31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14.77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项目支出增加。</w:t>
      </w:r>
    </w:p>
    <w:p>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200.94</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7.46</w:t>
      </w:r>
      <w:r>
        <w:rPr>
          <w:rFonts w:hint="eastAsia" w:ascii="Times New Roman" w:hAnsi="Times New Roman" w:eastAsia="仿宋_GB2312"/>
          <w:sz w:val="32"/>
          <w:szCs w:val="32"/>
        </w:rPr>
        <w:t>%；文化旅游体育与传媒（类）支出</w:t>
      </w:r>
      <w:r>
        <w:rPr>
          <w:rFonts w:hint="eastAsia" w:ascii="Times New Roman" w:hAnsi="Times New Roman" w:eastAsia="仿宋_GB2312"/>
          <w:sz w:val="32"/>
          <w:szCs w:val="32"/>
          <w:lang w:val="en-US" w:eastAsia="zh-CN"/>
        </w:rPr>
        <w:t>173.76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86.47</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3.88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1.93</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178.02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200.94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112.87</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eastAsia="zh-CN"/>
        </w:rPr>
        <w:t>一般公共预算财政</w:t>
      </w:r>
      <w:r>
        <w:rPr>
          <w:rFonts w:hint="eastAsia" w:ascii="Times New Roman" w:hAnsi="Times New Roman" w:eastAsia="仿宋_GB2312"/>
          <w:sz w:val="32"/>
          <w:szCs w:val="32"/>
        </w:rPr>
        <w:t>（款）</w:t>
      </w:r>
      <w:r>
        <w:rPr>
          <w:rFonts w:hint="eastAsia" w:ascii="仿宋_GB2312" w:eastAsia="仿宋_GB2312"/>
          <w:sz w:val="32"/>
          <w:szCs w:val="32"/>
        </w:rPr>
        <w:t>文化旅游体育与传媒支出</w:t>
      </w:r>
      <w:r>
        <w:rPr>
          <w:rFonts w:hint="eastAsia" w:ascii="Times New Roman" w:hAnsi="Times New Roman" w:eastAsia="仿宋_GB2312"/>
          <w:sz w:val="32"/>
          <w:szCs w:val="32"/>
        </w:rPr>
        <w:t>（项）。</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173.76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102.82</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项目经费增加。</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val="en-US" w:eastAsia="zh-CN"/>
        </w:rPr>
        <w:t>一般公共预算财政</w:t>
      </w:r>
      <w:r>
        <w:rPr>
          <w:rFonts w:hint="eastAsia" w:ascii="Times New Roman" w:hAnsi="Times New Roman" w:eastAsia="仿宋_GB2312"/>
          <w:sz w:val="32"/>
          <w:szCs w:val="32"/>
        </w:rPr>
        <w:t>（款）</w:t>
      </w:r>
      <w:r>
        <w:rPr>
          <w:rFonts w:hint="eastAsia" w:ascii="仿宋_GB2312" w:eastAsia="仿宋_GB2312"/>
          <w:sz w:val="32"/>
          <w:szCs w:val="32"/>
        </w:rPr>
        <w:t>住房保障</w:t>
      </w:r>
      <w:r>
        <w:rPr>
          <w:rFonts w:hint="eastAsia" w:ascii="仿宋_GB2312" w:eastAsia="仿宋_GB2312"/>
          <w:sz w:val="32"/>
          <w:szCs w:val="32"/>
          <w:lang w:val="en-US" w:eastAsia="zh-CN"/>
        </w:rPr>
        <w:t>支出</w:t>
      </w:r>
      <w:r>
        <w:rPr>
          <w:rFonts w:hint="eastAsia" w:ascii="Times New Roman" w:hAnsi="Times New Roman" w:eastAsia="仿宋_GB2312"/>
          <w:sz w:val="32"/>
          <w:szCs w:val="32"/>
        </w:rPr>
        <w:t>（项）。</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9.02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92.35</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人员减少。</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259.44</w:t>
      </w:r>
      <w:r>
        <w:rPr>
          <w:rFonts w:hint="eastAsia" w:ascii="Times New Roman" w:hAnsi="Times New Roman" w:eastAsia="仿宋_GB2312"/>
          <w:sz w:val="32"/>
          <w:szCs w:val="32"/>
        </w:rPr>
        <w:t>万元，其中：</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120.14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46.31</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13.64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5.19</w:t>
      </w:r>
      <w:r>
        <w:rPr>
          <w:rFonts w:hint="eastAsia" w:ascii="Times New Roman" w:hAnsi="Times New Roman" w:eastAsia="仿宋_GB2312"/>
          <w:sz w:val="32"/>
          <w:szCs w:val="32"/>
        </w:rPr>
        <w:t>%，主要包括办公费、印刷费、咨询费、手续费。</w:t>
      </w:r>
    </w:p>
    <w:p>
      <w:pPr>
        <w:pStyle w:val="10"/>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0"/>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体育赛事</w:t>
      </w:r>
      <w:r>
        <w:rPr>
          <w:rFonts w:hint="eastAsia" w:ascii="Times New Roman" w:hAnsi="Times New Roman" w:eastAsia="仿宋_GB2312"/>
          <w:sz w:val="32"/>
          <w:szCs w:val="32"/>
        </w:rPr>
        <w:t>发生的接待支出。</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58.5</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58.5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58.5</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无年初预算。</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13.64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widowControl/>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w:t>
      </w:r>
      <w:r>
        <w:rPr>
          <w:rFonts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年我单位专项预算资金，在原预算口径内，资金使用效率高，管理严谨，财务手续健全。最大限度的起到了保障业务开展需要</w:t>
      </w:r>
      <w:r>
        <w:rPr>
          <w:rFonts w:hint="eastAsia" w:ascii="仿宋_GB2312" w:hAnsi="仿宋" w:eastAsia="仿宋_GB2312"/>
          <w:sz w:val="32"/>
          <w:szCs w:val="32"/>
          <w:lang w:eastAsia="zh-CN"/>
        </w:rPr>
        <w:t>。</w:t>
      </w:r>
    </w:p>
    <w:p>
      <w:pPr>
        <w:widowControl/>
        <w:spacing w:line="360" w:lineRule="auto"/>
        <w:ind w:firstLine="660"/>
        <w:rPr>
          <w:rFonts w:ascii="仿宋_GB2312" w:hAnsi="仿宋" w:eastAsia="仿宋_GB2312"/>
          <w:sz w:val="32"/>
          <w:szCs w:val="32"/>
        </w:rPr>
      </w:pPr>
      <w:r>
        <w:rPr>
          <w:rFonts w:hint="eastAsia" w:ascii="仿宋_GB2312" w:hAnsi="仿宋" w:eastAsia="仿宋_GB2312"/>
          <w:sz w:val="32"/>
          <w:szCs w:val="32"/>
        </w:rPr>
        <w:t>本单位</w:t>
      </w:r>
      <w:r>
        <w:rPr>
          <w:rFonts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度专项支出资金管理和分配都比较合理，资金拨付及时，资金使用合规，无截留、挪用、闲置现象，财务核算规范、资料齐全。对全市全民健身工作而言，本单位创新思路，提高资金使用效益，积极组织群众体育活动，</w:t>
      </w:r>
      <w:r>
        <w:rPr>
          <w:rFonts w:hint="eastAsia" w:ascii="华文仿宋" w:hAnsi="华文仿宋" w:eastAsia="华文仿宋" w:cs="华文仿宋"/>
          <w:sz w:val="32"/>
          <w:szCs w:val="32"/>
          <w:lang w:val="zh-CN"/>
        </w:rPr>
        <w:t>促进了体育产业的发展</w:t>
      </w:r>
      <w:r>
        <w:rPr>
          <w:rFonts w:hint="eastAsia" w:ascii="仿宋_GB2312" w:hAnsi="仿宋" w:eastAsia="仿宋_GB2312"/>
          <w:sz w:val="32"/>
          <w:szCs w:val="32"/>
        </w:rPr>
        <w:t>，为全市的经济增长做出了一定的贡献，取得了良好的社会效益。</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我单位财务管理较为严格，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干职工而言，工资和福利得到了及时发放，生活有了保障，维护了社会的稳定。对项目资金的实施、资金投向及调度安排、固定资产购置及交付使用进行跟踪管理，确保项目资金专款专用。对于批量及单价在规定金额以上的物品采购，均实行政府采购制度。年度计划、重大支出等重大事项均经过班子会议集体讨论并报主管领导签字。</w:t>
      </w: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p>
    <w:p>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10"/>
        <w:ind w:firstLine="960" w:firstLineChars="300"/>
        <w:jc w:val="both"/>
        <w:rPr>
          <w:rFonts w:hint="eastAsia" w:eastAsia="黑体"/>
          <w:sz w:val="72"/>
          <w:szCs w:val="72"/>
          <w:lang w:eastAsia="zh-CN"/>
        </w:rPr>
      </w:pPr>
      <w:r>
        <w:rPr>
          <w:rFonts w:hint="eastAsia" w:ascii="Times New Roman" w:hAnsi="Times New Roman" w:eastAsia="仿宋_GB2312"/>
          <w:sz w:val="32"/>
          <w:szCs w:val="32"/>
          <w:lang w:val="en-US" w:eastAsia="zh-CN"/>
        </w:rPr>
        <w:t>无</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p>
    <w:p>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hint="eastAsia" w:ascii="仿宋_GB2312"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ind w:firstLine="640" w:firstLineChars="200"/>
        <w:jc w:val="left"/>
        <w:rPr>
          <w:sz w:val="72"/>
          <w:szCs w:val="72"/>
        </w:rPr>
      </w:pPr>
      <w:r>
        <w:rPr>
          <w:rFonts w:hint="eastAsia" w:cs="黑体" w:asciiTheme="minorEastAsia" w:hAnsiTheme="minorEastAsia"/>
          <w:color w:val="000000"/>
          <w:kern w:val="0"/>
          <w:sz w:val="32"/>
          <w:szCs w:val="32"/>
        </w:rPr>
        <w:t>二、</w:t>
      </w:r>
      <w:r>
        <w:rPr>
          <w:rFonts w:hint="eastAsia" w:ascii="仿宋_GB2312" w:eastAsia="仿宋_GB2312"/>
          <w:sz w:val="32"/>
          <w:szCs w:val="32"/>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13058"/>
    <w:multiLevelType w:val="singleLevel"/>
    <w:tmpl w:val="E5013058"/>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jFmOWQ0ZjM5YTUwMTJiZWM0NjlmMmI4MDY4Zj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665648"/>
    <w:rsid w:val="14B60A59"/>
    <w:rsid w:val="1B095669"/>
    <w:rsid w:val="2F857BA1"/>
    <w:rsid w:val="2FE778C1"/>
    <w:rsid w:val="36990C5D"/>
    <w:rsid w:val="387A669F"/>
    <w:rsid w:val="4A54394D"/>
    <w:rsid w:val="51D23CA4"/>
    <w:rsid w:val="55E73AC4"/>
    <w:rsid w:val="5777D4F5"/>
    <w:rsid w:val="5FC6BB1E"/>
    <w:rsid w:val="5FF720F1"/>
    <w:rsid w:val="737D59BA"/>
    <w:rsid w:val="74E245A4"/>
    <w:rsid w:val="77C37683"/>
    <w:rsid w:val="79C63670"/>
    <w:rsid w:val="79FF515B"/>
    <w:rsid w:val="7AA131E8"/>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jc w:val="left"/>
    </w:pPr>
    <w:rPr>
      <w:rFonts w:ascii="Calibri" w:hAnsi="Calibri"/>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5658</Words>
  <Characters>7130</Characters>
  <Lines>63</Lines>
  <Paragraphs>18</Paragraphs>
  <TotalTime>22</TotalTime>
  <ScaleCrop>false</ScaleCrop>
  <LinksUpToDate>false</LinksUpToDate>
  <CharactersWithSpaces>8212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孙泽宇</cp:lastModifiedBy>
  <cp:lastPrinted>2023-08-15T09:28:00Z</cp:lastPrinted>
  <dcterms:modified xsi:type="dcterms:W3CDTF">2023-11-09T02:18:50Z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17B390D46D09497EAD8826EB1BF04E82_13</vt:lpwstr>
  </property>
</Properties>
</file>