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0" w:firstLineChars="200"/>
        <w:jc w:val="center"/>
        <w:rPr>
          <w:rFonts w:ascii="华文中宋" w:hAnsi="华文中宋" w:eastAsia="华文中宋"/>
          <w:sz w:val="36"/>
          <w:szCs w:val="36"/>
        </w:rPr>
      </w:pPr>
      <w:bookmarkStart w:id="4" w:name="_GoBack"/>
      <w:bookmarkEnd w:id="4"/>
      <w:bookmarkStart w:id="0" w:name="YS060100"/>
      <w:bookmarkStart w:id="1" w:name="第七部分部门决算分析报告撰写提纲"/>
    </w:p>
    <w:p>
      <w:pPr>
        <w:snapToGrid w:val="0"/>
        <w:ind w:firstLine="720" w:firstLineChars="200"/>
        <w:jc w:val="center"/>
        <w:rPr>
          <w:rFonts w:ascii="华文中宋" w:hAnsi="华文中宋" w:eastAsia="华文中宋"/>
          <w:sz w:val="36"/>
          <w:szCs w:val="36"/>
        </w:rPr>
      </w:pPr>
    </w:p>
    <w:p>
      <w:pPr>
        <w:snapToGrid w:val="0"/>
        <w:jc w:val="center"/>
        <w:rPr>
          <w:rFonts w:ascii="华文中宋" w:hAnsi="华文中宋" w:eastAsia="华文中宋"/>
          <w:sz w:val="36"/>
          <w:szCs w:val="36"/>
        </w:rPr>
      </w:pPr>
      <w:r>
        <w:rPr>
          <w:rFonts w:hint="eastAsia" w:ascii="华文中宋" w:hAnsi="华文中宋" w:eastAsia="华文中宋"/>
          <w:sz w:val="36"/>
          <w:szCs w:val="36"/>
        </w:rPr>
        <w:t>沅江市洞庭湖博物馆</w:t>
      </w:r>
    </w:p>
    <w:p>
      <w:pPr>
        <w:snapToGrid w:val="0"/>
        <w:spacing w:line="520" w:lineRule="exact"/>
        <w:ind w:firstLine="1800" w:firstLineChars="500"/>
        <w:rPr>
          <w:rFonts w:ascii="黑体" w:hAnsi="黑体" w:eastAsia="黑体"/>
          <w:sz w:val="32"/>
          <w:szCs w:val="32"/>
        </w:rPr>
      </w:pPr>
      <w:r>
        <w:rPr>
          <w:rFonts w:hint="eastAsia" w:ascii="华文中宋" w:hAnsi="华文中宋" w:eastAsia="华文中宋"/>
          <w:sz w:val="36"/>
          <w:szCs w:val="36"/>
        </w:rPr>
        <w:t>2022年度部门决算分析报告</w:t>
      </w:r>
      <w:bookmarkEnd w:id="0"/>
      <w:bookmarkStart w:id="2" w:name="YS060101"/>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一、单位情况</w:t>
      </w:r>
    </w:p>
    <w:bookmarkEnd w:id="2"/>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snapToGrid w:val="0"/>
        <w:spacing w:line="520" w:lineRule="exact"/>
        <w:ind w:firstLine="640" w:firstLineChars="200"/>
        <w:rPr>
          <w:rFonts w:ascii="仿宋_GB2312" w:hAnsi="仿宋" w:eastAsia="仿宋_GB2312"/>
          <w:sz w:val="32"/>
          <w:szCs w:val="32"/>
        </w:rPr>
      </w:pPr>
      <w:r>
        <w:rPr>
          <w:rFonts w:hint="eastAsia" w:ascii="黑体" w:hAnsi="黑体" w:eastAsia="黑体"/>
          <w:sz w:val="32"/>
          <w:szCs w:val="32"/>
        </w:rPr>
        <w:t>1．主要职能。</w:t>
      </w:r>
      <w:r>
        <w:rPr>
          <w:rFonts w:hint="eastAsia" w:ascii="仿宋" w:hAnsi="仿宋" w:eastAsia="仿宋"/>
          <w:sz w:val="32"/>
        </w:rPr>
        <w:t>１、负责征集、</w:t>
      </w:r>
      <w:r>
        <w:rPr>
          <w:rFonts w:hint="eastAsia" w:ascii="仿宋" w:hAnsi="仿宋" w:eastAsia="仿宋"/>
          <w:color w:val="000000"/>
          <w:sz w:val="32"/>
        </w:rPr>
        <w:t>典藏</w:t>
      </w:r>
      <w:r>
        <w:rPr>
          <w:rFonts w:hint="eastAsia" w:ascii="仿宋" w:hAnsi="仿宋" w:eastAsia="仿宋"/>
          <w:color w:val="232323"/>
          <w:kern w:val="0"/>
          <w:sz w:val="32"/>
        </w:rPr>
        <w:t>、陈列和研究代表自然和人类文化遗产的实物，并对那些有科学性、历史性或者艺术价值的物品进行分类。</w:t>
      </w:r>
      <w:r>
        <w:rPr>
          <w:rFonts w:hint="eastAsia" w:ascii="仿宋" w:hAnsi="仿宋" w:eastAsia="仿宋"/>
          <w:sz w:val="32"/>
        </w:rPr>
        <w:t>2、对外</w:t>
      </w:r>
      <w:r>
        <w:rPr>
          <w:rFonts w:hint="eastAsia" w:ascii="仿宋" w:hAnsi="仿宋" w:eastAsia="仿宋"/>
          <w:color w:val="232323"/>
          <w:kern w:val="0"/>
          <w:sz w:val="32"/>
        </w:rPr>
        <w:t>免费开放</w:t>
      </w:r>
      <w:r>
        <w:rPr>
          <w:rFonts w:hint="eastAsia" w:ascii="仿宋" w:hAnsi="仿宋" w:eastAsia="仿宋"/>
          <w:sz w:val="32"/>
        </w:rPr>
        <w:t>陈列展览，</w:t>
      </w:r>
      <w:r>
        <w:rPr>
          <w:rFonts w:hint="eastAsia" w:ascii="仿宋" w:hAnsi="仿宋" w:eastAsia="仿宋"/>
          <w:color w:val="232323"/>
          <w:kern w:val="0"/>
          <w:sz w:val="32"/>
        </w:rPr>
        <w:t>为社会发展提供服务，以学习、教育、娱乐为目， 充分</w:t>
      </w:r>
      <w:r>
        <w:rPr>
          <w:rFonts w:hint="eastAsia" w:ascii="仿宋" w:hAnsi="仿宋" w:eastAsia="仿宋"/>
          <w:sz w:val="32"/>
        </w:rPr>
        <w:t>发挥精神文明窗口的作用。</w:t>
      </w:r>
    </w:p>
    <w:p>
      <w:pPr>
        <w:ind w:firstLine="600"/>
        <w:rPr>
          <w:rFonts w:ascii="仿宋" w:hAnsi="仿宋" w:eastAsia="仿宋"/>
          <w:color w:val="232323"/>
          <w:kern w:val="0"/>
          <w:sz w:val="32"/>
        </w:rPr>
      </w:pPr>
      <w:r>
        <w:rPr>
          <w:rFonts w:hint="eastAsia" w:ascii="黑体" w:hAnsi="黑体" w:eastAsia="黑体"/>
          <w:sz w:val="32"/>
          <w:szCs w:val="32"/>
        </w:rPr>
        <w:t>2．机构情况，</w:t>
      </w:r>
      <w:r>
        <w:rPr>
          <w:rFonts w:hint="eastAsia" w:ascii="仿宋" w:hAnsi="仿宋" w:eastAsia="仿宋"/>
          <w:sz w:val="32"/>
        </w:rPr>
        <w:t>本单位系沅江市文化旅游体育广电局下属二级机构，2021年因单位性质发生改变，由参照公务员法管理事业单位变为全额拨款公益一类事业单位。减少了文物执法职能</w:t>
      </w:r>
      <w:r>
        <w:rPr>
          <w:rFonts w:hint="eastAsia" w:ascii="仿宋" w:hAnsi="仿宋" w:eastAsia="仿宋" w:cs="仿宋"/>
          <w:color w:val="333333"/>
          <w:sz w:val="32"/>
          <w:szCs w:val="32"/>
        </w:rPr>
        <w:t>，内设减少了考古室</w:t>
      </w:r>
      <w:r>
        <w:rPr>
          <w:rFonts w:hint="eastAsia" w:ascii="仿宋" w:hAnsi="仿宋" w:eastAsia="仿宋"/>
          <w:sz w:val="32"/>
        </w:rPr>
        <w:t>，由办公室、财务室、资料室、典藏陈列室组</w:t>
      </w:r>
      <w:r>
        <w:rPr>
          <w:rFonts w:hint="eastAsia" w:ascii="仿宋" w:hAnsi="仿宋" w:eastAsia="仿宋"/>
          <w:color w:val="232323"/>
          <w:kern w:val="0"/>
          <w:sz w:val="32"/>
        </w:rPr>
        <w:t>成。2022年5月31日，博物馆加挂市考古研究中心牌子，增加相关职能，但并未增加人员开展工作。</w:t>
      </w:r>
    </w:p>
    <w:p>
      <w:pPr>
        <w:spacing w:line="520" w:lineRule="exact"/>
        <w:ind w:firstLine="640"/>
        <w:rPr>
          <w:rFonts w:ascii="仿宋" w:hAnsi="仿宋" w:eastAsia="仿宋"/>
          <w:color w:val="232323"/>
          <w:kern w:val="0"/>
          <w:sz w:val="32"/>
        </w:rPr>
      </w:pPr>
      <w:r>
        <w:rPr>
          <w:rFonts w:hint="eastAsia" w:ascii="仿宋" w:hAnsi="仿宋" w:eastAsia="仿宋"/>
          <w:color w:val="232323"/>
          <w:kern w:val="0"/>
          <w:sz w:val="32"/>
        </w:rPr>
        <w:t>3．人员情况，2022年本单位纳入部门预算编制1</w:t>
      </w:r>
      <w:r>
        <w:rPr>
          <w:rFonts w:hint="eastAsia" w:ascii="仿宋" w:hAnsi="仿宋" w:eastAsia="仿宋"/>
          <w:color w:val="232323"/>
          <w:kern w:val="0"/>
          <w:sz w:val="32"/>
          <w:lang w:val="en-US" w:eastAsia="zh-CN"/>
        </w:rPr>
        <w:t>6</w:t>
      </w:r>
      <w:r>
        <w:rPr>
          <w:rFonts w:hint="eastAsia" w:ascii="仿宋" w:hAnsi="仿宋" w:eastAsia="仿宋"/>
          <w:color w:val="232323"/>
          <w:kern w:val="0"/>
          <w:sz w:val="32"/>
        </w:rPr>
        <w:t>人，其中：年未实有在职人员7人，退休人员</w:t>
      </w:r>
      <w:r>
        <w:rPr>
          <w:rFonts w:hint="eastAsia" w:ascii="仿宋" w:hAnsi="仿宋" w:eastAsia="仿宋"/>
          <w:color w:val="232323"/>
          <w:kern w:val="0"/>
          <w:sz w:val="32"/>
          <w:lang w:val="en-US" w:eastAsia="zh-CN"/>
        </w:rPr>
        <w:t>9</w:t>
      </w:r>
      <w:r>
        <w:rPr>
          <w:rFonts w:hint="eastAsia" w:ascii="仿宋" w:hAnsi="仿宋" w:eastAsia="仿宋"/>
          <w:color w:val="232323"/>
          <w:kern w:val="0"/>
          <w:sz w:val="32"/>
        </w:rPr>
        <w:t>人。</w:t>
      </w: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（二）当年取得的主要事业成效。</w:t>
      </w:r>
    </w:p>
    <w:p>
      <w:pPr>
        <w:rPr>
          <w:rFonts w:ascii="仿宋" w:hAnsi="仿宋" w:eastAsia="仿宋"/>
          <w:sz w:val="32"/>
        </w:rPr>
      </w:pPr>
      <w:r>
        <w:rPr>
          <w:rFonts w:hint="eastAsia" w:ascii="黑体" w:hAnsi="黑体" w:eastAsia="黑体" w:cs="黑体"/>
          <w:sz w:val="32"/>
          <w:szCs w:val="32"/>
        </w:rPr>
        <w:t>1、工作开展情况</w:t>
      </w:r>
      <w:r>
        <w:rPr>
          <w:rFonts w:hint="eastAsia"/>
        </w:rPr>
        <w:t>。</w:t>
      </w:r>
      <w:r>
        <w:rPr>
          <w:rFonts w:hint="eastAsia" w:ascii="仿宋" w:hAnsi="仿宋" w:eastAsia="仿宋"/>
          <w:sz w:val="32"/>
        </w:rPr>
        <w:t>2022年，我馆始终坚持以习近平历届会议精神指导为，始终坚持强化理论和业务学习，抓好思想政治工作，夯实党员干部思想基础，进一步学习宣传党的各类会议精神和习近平总书记系列重要讲话。开展了“更好把握和运用党的百年奋斗历史经验”、“《习近平谈治国理政》第四卷——让群众过上好日子”、“新时代中国共产党的历史使命”等专题学习。</w:t>
      </w:r>
    </w:p>
    <w:p>
      <w:pPr>
        <w:ind w:firstLine="640" w:firstLineChars="200"/>
        <w:rPr>
          <w:rFonts w:ascii="仿宋" w:hAnsi="仿宋" w:eastAsia="仿宋"/>
          <w:color w:val="232323"/>
          <w:kern w:val="0"/>
          <w:sz w:val="32"/>
        </w:rPr>
      </w:pPr>
      <w:r>
        <w:rPr>
          <w:rFonts w:hint="eastAsia" w:ascii="仿宋" w:hAnsi="仿宋" w:eastAsia="仿宋"/>
          <w:color w:val="232323"/>
          <w:kern w:val="0"/>
          <w:sz w:val="32"/>
        </w:rPr>
        <w:t>以举办临时展览、悬挂横幅、车载音响宣传等活动为主线，打造了一个以博物馆为主题的文化品牌。同时结合实际认真落实博物馆工作的方针政策，加强队伍、业务建设，充分发挥"收藏、展示、研究、交流、教育"功能，全面提升博物馆的综合管理水平，各项工作又上了一个新台阶。</w:t>
      </w:r>
    </w:p>
    <w:p>
      <w:pPr>
        <w:numPr>
          <w:ilvl w:val="0"/>
          <w:numId w:val="1"/>
        </w:num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主要事业成就</w:t>
      </w: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（1）、立项增资</w:t>
      </w:r>
    </w:p>
    <w:p>
      <w:pPr>
        <w:ind w:firstLine="640" w:firstLineChars="200"/>
        <w:rPr>
          <w:rFonts w:ascii="仿宋" w:hAnsi="仿宋" w:eastAsia="仿宋"/>
          <w:color w:val="232323"/>
          <w:kern w:val="0"/>
          <w:sz w:val="32"/>
        </w:rPr>
      </w:pPr>
      <w:r>
        <w:rPr>
          <w:rFonts w:hint="eastAsia" w:ascii="仿宋" w:hAnsi="仿宋" w:eastAsia="仿宋"/>
          <w:color w:val="232323"/>
          <w:kern w:val="0"/>
          <w:sz w:val="32"/>
        </w:rPr>
        <w:t>博物馆是一个城市的形象和标志，在“三高四新”重要战略中是本市文化记忆及文化创新的最佳阵地，为了推动博物馆的发展，提高博物馆的硬件设施与陈列展览的质量，经多方筹措资金，在2022年作了以下几个方面的工作：1.国家免费开放资金58万元，用于博物馆立面墙、下水道、门窗翻新提质改造。2.由沅江财政拨款专项资金8万元用于打造洞庭渔船文化陈列。3.12月份，向省文物局争取计划外的免开资金35万元，主要用于免费开放、文物的征集和各种宣传工作。</w:t>
      </w:r>
    </w:p>
    <w:p>
      <w:pPr>
        <w:ind w:firstLine="640" w:firstLineChars="200"/>
        <w:rPr>
          <w:rFonts w:ascii="仿宋" w:hAnsi="仿宋" w:eastAsia="仿宋"/>
          <w:color w:val="232323"/>
          <w:kern w:val="0"/>
          <w:sz w:val="32"/>
        </w:rPr>
      </w:pP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（2）、文物保护工作</w:t>
      </w:r>
    </w:p>
    <w:p>
      <w:pPr>
        <w:ind w:firstLine="640" w:firstLineChars="200"/>
        <w:rPr>
          <w:rFonts w:ascii="仿宋" w:hAnsi="仿宋" w:eastAsia="仿宋"/>
          <w:color w:val="232323"/>
          <w:kern w:val="0"/>
          <w:sz w:val="32"/>
        </w:rPr>
      </w:pPr>
      <w:r>
        <w:rPr>
          <w:rFonts w:hint="eastAsia" w:ascii="仿宋" w:hAnsi="仿宋" w:eastAsia="仿宋"/>
          <w:color w:val="232323"/>
          <w:kern w:val="0"/>
          <w:sz w:val="32"/>
        </w:rPr>
        <w:t>1、4月份，沅江市洞庭湖博物馆原征集到的9条渔船，利用木质结构框架，镶嵌式风格，打造了具有湖湘文化特色的——“洞庭渔船文化陈列”，正式向观众推出。</w:t>
      </w:r>
    </w:p>
    <w:p>
      <w:pPr>
        <w:ind w:firstLine="640" w:firstLineChars="200"/>
        <w:rPr>
          <w:rFonts w:ascii="仿宋" w:hAnsi="仿宋" w:eastAsia="仿宋"/>
          <w:color w:val="232323"/>
          <w:kern w:val="0"/>
          <w:sz w:val="32"/>
        </w:rPr>
      </w:pPr>
      <w:r>
        <w:rPr>
          <w:rFonts w:hint="eastAsia" w:ascii="仿宋" w:hAnsi="仿宋" w:eastAsia="仿宋"/>
          <w:color w:val="232323"/>
          <w:kern w:val="0"/>
          <w:sz w:val="32"/>
        </w:rPr>
        <w:t>2、对博物馆庭院内可移动的石器文物进行整理。</w:t>
      </w:r>
    </w:p>
    <w:p>
      <w:pPr>
        <w:ind w:firstLine="640" w:firstLineChars="200"/>
        <w:rPr>
          <w:rFonts w:ascii="仿宋" w:hAnsi="仿宋" w:eastAsia="仿宋"/>
          <w:color w:val="232323"/>
          <w:kern w:val="0"/>
          <w:sz w:val="32"/>
        </w:rPr>
      </w:pPr>
      <w:r>
        <w:rPr>
          <w:rFonts w:hint="eastAsia" w:ascii="仿宋" w:hAnsi="仿宋" w:eastAsia="仿宋"/>
          <w:color w:val="232323"/>
          <w:kern w:val="0"/>
          <w:sz w:val="32"/>
        </w:rPr>
        <w:t>3、益阳市考古研究所专家来博物馆拓印碑刻文物。传授拓印碑刻的技巧，交流学习。</w:t>
      </w:r>
    </w:p>
    <w:p>
      <w:pPr>
        <w:ind w:firstLine="640" w:firstLineChars="200"/>
        <w:rPr>
          <w:rFonts w:ascii="仿宋" w:hAnsi="仿宋" w:eastAsia="仿宋"/>
          <w:color w:val="232323"/>
          <w:kern w:val="0"/>
          <w:sz w:val="32"/>
        </w:rPr>
      </w:pPr>
      <w:r>
        <w:rPr>
          <w:rFonts w:hint="eastAsia" w:ascii="仿宋" w:hAnsi="仿宋" w:eastAsia="仿宋"/>
          <w:color w:val="232323"/>
          <w:kern w:val="0"/>
          <w:sz w:val="32"/>
        </w:rPr>
        <w:t>4、字画修复：自2021年12月起，沅江市洞庭湖博物馆就一直与湖南省文物局接洽古字画修复工程项目，文物修复专家团两次来博物馆考察，对文物古字画前期鉴定修复程度，提取虫害标本，以完善方案做准备。《益阳市2022年申报可移动文物保护项目计划》7月份通过了湖南省文物局审核，沅江市洞庭湖博物馆委托北京盛轩辕艺术品保护与服务有限公司编制的《沅江市洞庭湖博物馆藏纸质文物保护修复方案（第一期）》，于2022年10月25日通过了益阳市文物局审批。</w:t>
      </w:r>
    </w:p>
    <w:p>
      <w:pPr>
        <w:ind w:firstLine="640" w:firstLineChars="200"/>
        <w:rPr>
          <w:rFonts w:ascii="仿宋" w:hAnsi="仿宋" w:eastAsia="仿宋"/>
          <w:color w:val="232323"/>
          <w:kern w:val="0"/>
          <w:sz w:val="32"/>
        </w:rPr>
      </w:pPr>
      <w:r>
        <w:rPr>
          <w:rFonts w:hint="eastAsia" w:ascii="仿宋" w:hAnsi="仿宋" w:eastAsia="仿宋"/>
          <w:color w:val="232323"/>
          <w:kern w:val="0"/>
          <w:sz w:val="32"/>
        </w:rPr>
        <w:t>5、9月份，为正确宣传文博知识，提高人民群众保护传承文化遗产的意识，博物馆业务专干为沅江市共华镇仁安村的村民进行文物保护公益宣讲。</w:t>
      </w: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（3）、业务工作  有声有色</w:t>
      </w:r>
    </w:p>
    <w:p>
      <w:pPr>
        <w:ind w:firstLine="640" w:firstLineChars="200"/>
        <w:rPr>
          <w:rFonts w:ascii="仿宋" w:hAnsi="仿宋" w:eastAsia="仿宋"/>
          <w:color w:val="232323"/>
          <w:kern w:val="0"/>
          <w:sz w:val="32"/>
        </w:rPr>
      </w:pPr>
      <w:r>
        <w:rPr>
          <w:rFonts w:hint="eastAsia" w:ascii="仿宋" w:hAnsi="仿宋" w:eastAsia="仿宋"/>
          <w:color w:val="232323"/>
          <w:kern w:val="0"/>
          <w:sz w:val="32"/>
        </w:rPr>
        <w:t>博物馆是历史文化积累和人文、人使文化遗产的重要载体，也是展示社会文明发展的重要窗口，免费开放的实行是让更多的人去参观、了解、学习，这在某种意义上来说，是加强的总体的文化素养。为搞好免费对外开放工作，扩大博物馆的宣传效应，在每年固定的“5.18国际博物馆日”紧紧围绕活动主题，开展了形式多样的文博宣传活动.其活动主要以场馆宣传、流动版面宣传和媒体宣传为主。一是场馆宣传：在场馆外悬挂宣传标语；车载音响，场馆内利用博物馆的电子屏滚动标语宣传;并结合我馆的四个基本陈列（历史文物陈列、古字画精品陈列、民俗文物陈列和洞庭渔船文化陈列）及主题鲜明的临时展览一起免费开放。设咨询台，以专业的水平解答观众提出的各种问题，并免费为观众进行讲解，让更多的人了解、关注、参与博物馆的宣传活动。二是流动版面宣传：在我市中心街区位置，摆放了精心制作的流动版面，组织博物馆工作人员走上街头发放宣传资料，宣传《中华人民共和国文物保护法》、《博物馆管理办法》、《文博博物馆工作人员职业道德准则》等法律法规，以及沅江市境内重点文物保护单位的宣传，文物的保护和利用等。吸引了众多观众走进博物馆。三是媒体宣传：沅江电视台媒体宣传；利用网络的宣传效应和人们爱翻阅手机的生活习惯，将活动上传至文博公众号，然后分享至每个微信群对活动进行宣传。</w:t>
      </w:r>
    </w:p>
    <w:p>
      <w:pPr>
        <w:snapToGrid w:val="0"/>
        <w:spacing w:line="520" w:lineRule="exact"/>
        <w:ind w:firstLine="640" w:firstLineChars="200"/>
        <w:rPr>
          <w:rFonts w:ascii="黑体" w:hAnsi="黑体" w:eastAsia="黑体"/>
          <w:sz w:val="32"/>
          <w:szCs w:val="32"/>
        </w:rPr>
      </w:pPr>
    </w:p>
    <w:p>
      <w:pPr>
        <w:snapToGrid w:val="0"/>
        <w:spacing w:line="520" w:lineRule="exact"/>
        <w:ind w:firstLine="640" w:firstLineChars="200"/>
        <w:rPr>
          <w:rFonts w:ascii="黑体" w:hAnsi="黑体" w:eastAsia="黑体"/>
          <w:sz w:val="32"/>
          <w:szCs w:val="32"/>
        </w:rPr>
      </w:pPr>
      <w:bookmarkStart w:id="3" w:name="YS060102"/>
      <w:r>
        <w:rPr>
          <w:rFonts w:hint="eastAsia" w:ascii="黑体" w:hAnsi="黑体" w:eastAsia="黑体"/>
          <w:sz w:val="32"/>
          <w:szCs w:val="32"/>
        </w:rPr>
        <w:t>二、收入支出预算执行情况分析</w:t>
      </w:r>
    </w:p>
    <w:bookmarkEnd w:id="3"/>
    <w:p>
      <w:pPr>
        <w:snapToGrid w:val="0"/>
        <w:spacing w:line="520" w:lineRule="exact"/>
        <w:ind w:firstLine="640" w:firstLineChars="200"/>
        <w:rPr>
          <w:rFonts w:ascii="楷体_GB2312" w:hAnsi="仿宋" w:eastAsia="楷体_GB2312"/>
          <w:b/>
          <w:sz w:val="32"/>
          <w:szCs w:val="32"/>
        </w:rPr>
      </w:pPr>
      <w:r>
        <w:rPr>
          <w:rFonts w:hint="eastAsia" w:ascii="黑体" w:hAnsi="黑体" w:eastAsia="黑体"/>
          <w:sz w:val="32"/>
          <w:szCs w:val="32"/>
        </w:rPr>
        <w:t>（一）收入支出预算安排情况。</w:t>
      </w:r>
    </w:p>
    <w:p>
      <w:pPr>
        <w:spacing w:line="360" w:lineRule="auto"/>
        <w:ind w:firstLine="640"/>
        <w:rPr>
          <w:rFonts w:ascii="仿宋" w:hAnsi="仿宋" w:eastAsia="仿宋"/>
          <w:sz w:val="32"/>
        </w:rPr>
      </w:pPr>
      <w:r>
        <w:rPr>
          <w:rFonts w:hint="eastAsia" w:ascii="仿宋" w:hAnsi="仿宋" w:eastAsia="仿宋"/>
          <w:sz w:val="32"/>
        </w:rPr>
        <w:t>2022年，本部门年初预算收入</w:t>
      </w:r>
      <w:r>
        <w:rPr>
          <w:rFonts w:hint="eastAsia" w:ascii="仿宋_GB2312" w:hAnsi="仿宋" w:eastAsia="仿宋_GB2312"/>
          <w:sz w:val="32"/>
          <w:szCs w:val="32"/>
        </w:rPr>
        <w:t>84.5306</w:t>
      </w:r>
      <w:r>
        <w:rPr>
          <w:rFonts w:hint="eastAsia" w:ascii="仿宋" w:hAnsi="仿宋" w:eastAsia="仿宋"/>
          <w:sz w:val="32"/>
        </w:rPr>
        <w:t>万元，比上年减少17.75万元，下降17.35</w:t>
      </w:r>
      <w:r>
        <w:rPr>
          <w:rFonts w:hint="eastAsia" w:ascii="仿宋" w:hAnsi="仿宋" w:eastAsia="仿宋"/>
          <w:sz w:val="32"/>
          <w:lang w:val="zh-CN"/>
        </w:rPr>
        <w:t>%,减少的主要原因是：单位人员减少。</w:t>
      </w:r>
      <w:r>
        <w:rPr>
          <w:rFonts w:hint="eastAsia" w:ascii="仿宋" w:hAnsi="仿宋" w:eastAsia="仿宋"/>
          <w:sz w:val="32"/>
        </w:rPr>
        <w:t>其中：一般公共预算财政拨款收入年初预算</w:t>
      </w:r>
      <w:r>
        <w:rPr>
          <w:rFonts w:hint="eastAsia" w:ascii="仿宋_GB2312" w:hAnsi="仿宋" w:eastAsia="仿宋_GB2312"/>
          <w:sz w:val="32"/>
          <w:szCs w:val="32"/>
        </w:rPr>
        <w:t>84.5306</w:t>
      </w:r>
      <w:r>
        <w:rPr>
          <w:rFonts w:hint="eastAsia" w:ascii="仿宋" w:hAnsi="仿宋" w:eastAsia="仿宋"/>
          <w:sz w:val="32"/>
        </w:rPr>
        <w:t>万元，比上年减少17.75万元；政府性基金预算财政拨款收入年初预算</w:t>
      </w:r>
      <w:r>
        <w:rPr>
          <w:rFonts w:hint="eastAsia" w:ascii="仿宋" w:hAnsi="仿宋" w:eastAsia="仿宋"/>
          <w:sz w:val="28"/>
        </w:rPr>
        <w:t>0</w:t>
      </w:r>
      <w:r>
        <w:rPr>
          <w:rFonts w:hint="eastAsia" w:ascii="仿宋" w:hAnsi="仿宋" w:eastAsia="仿宋"/>
          <w:sz w:val="32"/>
        </w:rPr>
        <w:t>万元，比上年增减</w:t>
      </w:r>
      <w:r>
        <w:rPr>
          <w:rFonts w:hint="eastAsia" w:ascii="仿宋" w:hAnsi="仿宋" w:eastAsia="仿宋"/>
          <w:sz w:val="28"/>
        </w:rPr>
        <w:t>0</w:t>
      </w:r>
      <w:r>
        <w:rPr>
          <w:rFonts w:hint="eastAsia" w:ascii="仿宋" w:hAnsi="仿宋" w:eastAsia="仿宋"/>
          <w:sz w:val="32"/>
        </w:rPr>
        <w:t>万元，无变化；上级补助收入年初预算</w:t>
      </w:r>
      <w:r>
        <w:rPr>
          <w:rFonts w:hint="eastAsia" w:ascii="仿宋" w:hAnsi="仿宋" w:eastAsia="仿宋"/>
          <w:sz w:val="28"/>
        </w:rPr>
        <w:t>0</w:t>
      </w:r>
      <w:r>
        <w:rPr>
          <w:rFonts w:hint="eastAsia" w:ascii="仿宋" w:hAnsi="仿宋" w:eastAsia="仿宋"/>
          <w:sz w:val="32"/>
        </w:rPr>
        <w:t>万元，比上年增减0万元；事业收入年初预算</w:t>
      </w:r>
      <w:r>
        <w:rPr>
          <w:rFonts w:hint="eastAsia" w:ascii="仿宋" w:hAnsi="仿宋" w:eastAsia="仿宋"/>
          <w:sz w:val="28"/>
        </w:rPr>
        <w:t>0</w:t>
      </w:r>
      <w:r>
        <w:rPr>
          <w:rFonts w:hint="eastAsia" w:ascii="仿宋" w:hAnsi="仿宋" w:eastAsia="仿宋"/>
          <w:sz w:val="32"/>
        </w:rPr>
        <w:t>万元，比上年增减0万元；经营收入年初预算收入</w:t>
      </w:r>
      <w:r>
        <w:rPr>
          <w:rFonts w:hint="eastAsia" w:ascii="仿宋" w:hAnsi="仿宋" w:eastAsia="仿宋"/>
          <w:sz w:val="28"/>
        </w:rPr>
        <w:t>0</w:t>
      </w:r>
      <w:r>
        <w:rPr>
          <w:rFonts w:hint="eastAsia" w:ascii="仿宋" w:hAnsi="仿宋" w:eastAsia="仿宋"/>
          <w:sz w:val="32"/>
        </w:rPr>
        <w:t>万元，比上年增减</w:t>
      </w:r>
      <w:r>
        <w:rPr>
          <w:rFonts w:hint="eastAsia" w:ascii="仿宋" w:hAnsi="仿宋" w:eastAsia="仿宋"/>
          <w:sz w:val="28"/>
        </w:rPr>
        <w:t>0</w:t>
      </w:r>
      <w:r>
        <w:rPr>
          <w:rFonts w:hint="eastAsia" w:ascii="仿宋" w:hAnsi="仿宋" w:eastAsia="仿宋"/>
          <w:sz w:val="32"/>
        </w:rPr>
        <w:t>万元，无变化；附属单位上缴收入年初预算收入</w:t>
      </w:r>
      <w:r>
        <w:rPr>
          <w:rFonts w:hint="eastAsia" w:ascii="仿宋" w:hAnsi="仿宋" w:eastAsia="仿宋"/>
          <w:sz w:val="28"/>
        </w:rPr>
        <w:t>0</w:t>
      </w:r>
      <w:r>
        <w:rPr>
          <w:rFonts w:hint="eastAsia" w:ascii="仿宋" w:hAnsi="仿宋" w:eastAsia="仿宋"/>
          <w:sz w:val="32"/>
        </w:rPr>
        <w:t>万元，比上年增减</w:t>
      </w:r>
      <w:r>
        <w:rPr>
          <w:rFonts w:hint="eastAsia" w:ascii="仿宋" w:hAnsi="仿宋" w:eastAsia="仿宋"/>
          <w:sz w:val="28"/>
        </w:rPr>
        <w:t>0</w:t>
      </w:r>
      <w:r>
        <w:rPr>
          <w:rFonts w:hint="eastAsia" w:ascii="仿宋" w:hAnsi="仿宋" w:eastAsia="仿宋"/>
          <w:sz w:val="32"/>
        </w:rPr>
        <w:t>万元，无变化；其他收入年初预算收入</w:t>
      </w:r>
      <w:r>
        <w:rPr>
          <w:rFonts w:hint="eastAsia" w:ascii="仿宋" w:hAnsi="仿宋" w:eastAsia="仿宋"/>
          <w:sz w:val="28"/>
        </w:rPr>
        <w:t>0</w:t>
      </w:r>
      <w:r>
        <w:rPr>
          <w:rFonts w:hint="eastAsia" w:ascii="仿宋" w:hAnsi="仿宋" w:eastAsia="仿宋"/>
          <w:sz w:val="32"/>
        </w:rPr>
        <w:t>万元，比上年增减</w:t>
      </w:r>
      <w:r>
        <w:rPr>
          <w:rFonts w:hint="eastAsia" w:ascii="仿宋" w:hAnsi="仿宋" w:eastAsia="仿宋"/>
          <w:sz w:val="28"/>
        </w:rPr>
        <w:t>0</w:t>
      </w:r>
      <w:r>
        <w:rPr>
          <w:rFonts w:hint="eastAsia" w:ascii="仿宋" w:hAnsi="仿宋" w:eastAsia="仿宋"/>
          <w:sz w:val="32"/>
        </w:rPr>
        <w:t>万元，无变化。年度执行中因单位人数变动及单位事权调整，预算跟随调整情况，主要变化是：收入调整预算数为</w:t>
      </w:r>
      <w:r>
        <w:rPr>
          <w:rFonts w:hint="eastAsia" w:ascii="仿宋" w:hAnsi="仿宋" w:eastAsia="仿宋" w:cs="仿宋"/>
          <w:color w:val="333333"/>
          <w:sz w:val="32"/>
          <w:szCs w:val="32"/>
        </w:rPr>
        <w:t>215.2704</w:t>
      </w:r>
      <w:r>
        <w:rPr>
          <w:rFonts w:hint="eastAsia" w:ascii="仿宋" w:hAnsi="仿宋" w:eastAsia="仿宋"/>
          <w:sz w:val="32"/>
        </w:rPr>
        <w:t>万元。</w:t>
      </w:r>
    </w:p>
    <w:p>
      <w:pPr>
        <w:spacing w:line="520" w:lineRule="exact"/>
        <w:ind w:firstLine="640"/>
        <w:rPr>
          <w:rFonts w:ascii="仿宋" w:hAnsi="仿宋" w:eastAsia="仿宋"/>
          <w:sz w:val="32"/>
        </w:rPr>
      </w:pPr>
      <w:r>
        <w:rPr>
          <w:rFonts w:hint="eastAsia" w:ascii="仿宋" w:hAnsi="仿宋" w:eastAsia="仿宋"/>
          <w:sz w:val="32"/>
        </w:rPr>
        <w:t>2022年，本部门年初预算支出</w:t>
      </w:r>
      <w:r>
        <w:rPr>
          <w:rFonts w:hint="eastAsia" w:ascii="仿宋_GB2312" w:hAnsi="仿宋" w:eastAsia="仿宋_GB2312"/>
          <w:sz w:val="32"/>
          <w:szCs w:val="32"/>
        </w:rPr>
        <w:t>84.5306</w:t>
      </w:r>
      <w:r>
        <w:rPr>
          <w:rFonts w:hint="eastAsia" w:ascii="仿宋" w:hAnsi="仿宋" w:eastAsia="仿宋"/>
          <w:sz w:val="32"/>
        </w:rPr>
        <w:t>万元，比上年减少17.75万元，下降17.35%，</w:t>
      </w:r>
      <w:r>
        <w:rPr>
          <w:rFonts w:hint="eastAsia" w:ascii="仿宋" w:hAnsi="仿宋" w:eastAsia="仿宋"/>
          <w:sz w:val="32"/>
          <w:lang w:val="zh-CN"/>
        </w:rPr>
        <w:t>下降的主要原因是：</w:t>
      </w:r>
      <w:r>
        <w:rPr>
          <w:rFonts w:hint="eastAsia" w:ascii="仿宋" w:hAnsi="仿宋" w:eastAsia="仿宋"/>
          <w:sz w:val="32"/>
        </w:rPr>
        <w:t>单位人员减少。其中：基本</w:t>
      </w:r>
      <w:r>
        <w:rPr>
          <w:rFonts w:hint="eastAsia" w:ascii="仿宋" w:hAnsi="仿宋" w:eastAsia="仿宋"/>
          <w:sz w:val="32"/>
          <w:lang w:val="zh-CN"/>
        </w:rPr>
        <w:t>支出</w:t>
      </w:r>
      <w:r>
        <w:rPr>
          <w:rFonts w:hint="eastAsia" w:ascii="仿宋" w:hAnsi="仿宋" w:eastAsia="仿宋"/>
          <w:sz w:val="32"/>
        </w:rPr>
        <w:t>年初预算</w:t>
      </w:r>
      <w:r>
        <w:rPr>
          <w:rFonts w:hint="eastAsia" w:ascii="仿宋" w:hAnsi="仿宋" w:eastAsia="仿宋"/>
          <w:sz w:val="28"/>
        </w:rPr>
        <w:t>66.5306</w:t>
      </w:r>
      <w:r>
        <w:rPr>
          <w:rFonts w:hint="eastAsia" w:ascii="仿宋" w:hAnsi="仿宋" w:eastAsia="仿宋"/>
          <w:sz w:val="32"/>
        </w:rPr>
        <w:t>万元，比上年减少27.7484万元，下降29.43%；项目支出年初预算</w:t>
      </w:r>
      <w:r>
        <w:rPr>
          <w:rFonts w:hint="eastAsia" w:ascii="仿宋" w:hAnsi="仿宋" w:eastAsia="仿宋"/>
          <w:sz w:val="28"/>
        </w:rPr>
        <w:t>18</w:t>
      </w:r>
      <w:r>
        <w:rPr>
          <w:rFonts w:hint="eastAsia" w:ascii="仿宋" w:hAnsi="仿宋" w:eastAsia="仿宋"/>
          <w:sz w:val="32"/>
        </w:rPr>
        <w:t>万元，比上年增加10万元，增长125%，年度执行中因单位人数变动及单位事权调整，预算跟随调整情况，主要变化是：</w:t>
      </w:r>
      <w:r>
        <w:rPr>
          <w:rFonts w:hint="eastAsia" w:ascii="仿宋" w:hAnsi="仿宋" w:eastAsia="仿宋"/>
          <w:sz w:val="32"/>
          <w:lang w:val="zh-CN"/>
        </w:rPr>
        <w:t>支出调整预算为</w:t>
      </w:r>
      <w:r>
        <w:rPr>
          <w:rFonts w:hint="eastAsia" w:ascii="仿宋" w:hAnsi="仿宋" w:eastAsia="仿宋"/>
          <w:sz w:val="32"/>
        </w:rPr>
        <w:t>222.299049</w:t>
      </w:r>
      <w:r>
        <w:rPr>
          <w:rFonts w:hint="eastAsia" w:ascii="仿宋" w:hAnsi="仿宋" w:eastAsia="仿宋"/>
          <w:sz w:val="32"/>
          <w:lang w:val="zh-CN"/>
        </w:rPr>
        <w:t>万元，其中当年财政调整预算215.2704万元，动用上年结余7.028649万元。</w:t>
      </w: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（二）收入支出预算执行情况。</w:t>
      </w:r>
    </w:p>
    <w:p>
      <w:pPr>
        <w:spacing w:line="520" w:lineRule="exact"/>
        <w:ind w:firstLine="643"/>
        <w:rPr>
          <w:rFonts w:ascii="仿宋" w:hAnsi="仿宋" w:eastAsia="仿宋"/>
          <w:sz w:val="32"/>
          <w:lang w:val="zh-CN"/>
        </w:rPr>
      </w:pPr>
      <w:r>
        <w:rPr>
          <w:rFonts w:hint="eastAsia" w:ascii="仿宋" w:hAnsi="仿宋" w:eastAsia="仿宋"/>
          <w:sz w:val="32"/>
        </w:rPr>
        <w:t>2022年收入实际完成</w:t>
      </w:r>
      <w:r>
        <w:rPr>
          <w:rFonts w:hint="eastAsia" w:ascii="仿宋" w:hAnsi="仿宋" w:eastAsia="仿宋" w:cs="仿宋"/>
          <w:color w:val="333333"/>
          <w:sz w:val="32"/>
          <w:szCs w:val="32"/>
        </w:rPr>
        <w:t>215.2704</w:t>
      </w:r>
      <w:r>
        <w:rPr>
          <w:rFonts w:hint="eastAsia" w:ascii="仿宋" w:hAnsi="仿宋" w:eastAsia="仿宋"/>
          <w:sz w:val="32"/>
        </w:rPr>
        <w:t>万元，比上年减少7.8747万元，下降3.53</w:t>
      </w:r>
      <w:r>
        <w:rPr>
          <w:rFonts w:hint="eastAsia" w:ascii="仿宋" w:hAnsi="仿宋" w:eastAsia="仿宋"/>
          <w:sz w:val="32"/>
          <w:lang w:val="zh-CN"/>
        </w:rPr>
        <w:t>%</w:t>
      </w:r>
      <w:r>
        <w:rPr>
          <w:rFonts w:hint="eastAsia" w:ascii="仿宋" w:hAnsi="仿宋" w:eastAsia="仿宋"/>
          <w:sz w:val="32"/>
        </w:rPr>
        <w:t>。与上年基本持平。其中：一般公共预算财政拨款收入完成</w:t>
      </w:r>
      <w:r>
        <w:rPr>
          <w:rFonts w:hint="eastAsia" w:ascii="仿宋" w:hAnsi="仿宋" w:eastAsia="仿宋"/>
          <w:sz w:val="28"/>
        </w:rPr>
        <w:t>215.2704</w:t>
      </w:r>
      <w:r>
        <w:rPr>
          <w:rFonts w:hint="eastAsia" w:ascii="仿宋" w:hAnsi="仿宋" w:eastAsia="仿宋"/>
          <w:sz w:val="32"/>
        </w:rPr>
        <w:t>万元，比上年</w:t>
      </w:r>
      <w:r>
        <w:rPr>
          <w:rFonts w:hint="eastAsia" w:ascii="仿宋" w:hAnsi="仿宋" w:eastAsia="仿宋"/>
          <w:sz w:val="28"/>
        </w:rPr>
        <w:t>减少7.8747</w:t>
      </w:r>
      <w:r>
        <w:rPr>
          <w:rFonts w:hint="eastAsia" w:ascii="仿宋" w:hAnsi="仿宋" w:eastAsia="仿宋"/>
          <w:sz w:val="32"/>
        </w:rPr>
        <w:t>万元，下降3.53</w:t>
      </w:r>
      <w:r>
        <w:rPr>
          <w:rFonts w:hint="eastAsia" w:ascii="仿宋" w:hAnsi="仿宋" w:eastAsia="仿宋"/>
          <w:sz w:val="32"/>
          <w:lang w:val="zh-CN"/>
        </w:rPr>
        <w:t>%，增长变化的主要原因是：</w:t>
      </w:r>
      <w:r>
        <w:rPr>
          <w:rFonts w:hint="eastAsia" w:ascii="仿宋" w:hAnsi="仿宋" w:eastAsia="仿宋"/>
          <w:sz w:val="32"/>
        </w:rPr>
        <w:t>当年预算内项目收入较上年增加35万元，增长49.89%；本年无其他收入，上年其他收入45.8万元，比上年减少45.8万元，主要原因是上年的此项收入系局机关转拨绩效奖励和专项资金，今年是财政直接拨入单位；上级补助收入完成</w:t>
      </w:r>
      <w:r>
        <w:rPr>
          <w:rFonts w:hint="eastAsia" w:ascii="仿宋" w:hAnsi="仿宋" w:eastAsia="仿宋"/>
          <w:sz w:val="28"/>
        </w:rPr>
        <w:t>0</w:t>
      </w:r>
      <w:r>
        <w:rPr>
          <w:rFonts w:hint="eastAsia" w:ascii="仿宋" w:hAnsi="仿宋" w:eastAsia="仿宋"/>
          <w:sz w:val="32"/>
        </w:rPr>
        <w:t>万元，与上年增减0万元</w:t>
      </w:r>
      <w:r>
        <w:rPr>
          <w:rFonts w:hint="eastAsia" w:ascii="仿宋" w:hAnsi="仿宋" w:eastAsia="仿宋"/>
          <w:sz w:val="28"/>
        </w:rPr>
        <w:t>；</w:t>
      </w:r>
      <w:r>
        <w:rPr>
          <w:rFonts w:hint="eastAsia" w:ascii="仿宋" w:hAnsi="仿宋" w:eastAsia="仿宋"/>
          <w:sz w:val="32"/>
        </w:rPr>
        <w:t>与上年一样无政府性基金财政拨款收、事业收入、经营收入、附属单位上缴收入</w:t>
      </w:r>
      <w:r>
        <w:rPr>
          <w:rFonts w:hint="eastAsia" w:ascii="仿宋" w:hAnsi="仿宋" w:eastAsia="仿宋"/>
          <w:sz w:val="32"/>
          <w:lang w:val="zh-CN"/>
        </w:rPr>
        <w:t>。</w:t>
      </w:r>
    </w:p>
    <w:p>
      <w:pPr>
        <w:spacing w:line="520" w:lineRule="exact"/>
        <w:ind w:firstLine="643"/>
        <w:rPr>
          <w:rFonts w:ascii="仿宋" w:hAnsi="仿宋" w:eastAsia="仿宋"/>
          <w:sz w:val="32"/>
          <w:lang w:val="zh-CN"/>
        </w:rPr>
      </w:pPr>
      <w:r>
        <w:rPr>
          <w:rFonts w:hint="eastAsia" w:ascii="仿宋" w:hAnsi="仿宋" w:eastAsia="仿宋"/>
          <w:sz w:val="32"/>
        </w:rPr>
        <w:t>2022年，本部门支出222.2990万元，比上年减少44.7352万元，下降16.75%；</w:t>
      </w:r>
      <w:r>
        <w:rPr>
          <w:rFonts w:hint="eastAsia" w:ascii="仿宋" w:hAnsi="仿宋" w:eastAsia="仿宋"/>
          <w:sz w:val="32"/>
          <w:lang w:val="zh-CN"/>
        </w:rPr>
        <w:t>变化的主要原因：项目支出较上年减少46.4273万元。当年收入215.2704万元，动用上年结余7.028649万元。</w:t>
      </w:r>
      <w:r>
        <w:rPr>
          <w:rFonts w:hint="eastAsia" w:ascii="仿宋" w:hAnsi="仿宋" w:eastAsia="仿宋"/>
          <w:sz w:val="32"/>
        </w:rPr>
        <w:t>其中：基本支出完成</w:t>
      </w:r>
      <w:r>
        <w:rPr>
          <w:rFonts w:hint="eastAsia" w:ascii="仿宋" w:hAnsi="仿宋" w:eastAsia="仿宋"/>
          <w:sz w:val="28"/>
        </w:rPr>
        <w:t>111.7212</w:t>
      </w:r>
      <w:r>
        <w:rPr>
          <w:rFonts w:hint="eastAsia" w:ascii="仿宋" w:hAnsi="仿宋" w:eastAsia="仿宋"/>
          <w:sz w:val="32"/>
        </w:rPr>
        <w:t>万元，比上年减少5.3366万元，下降4.56</w:t>
      </w:r>
      <w:r>
        <w:rPr>
          <w:rFonts w:hint="eastAsia" w:ascii="仿宋" w:hAnsi="仿宋" w:eastAsia="仿宋"/>
          <w:sz w:val="28"/>
        </w:rPr>
        <w:t>%，</w:t>
      </w:r>
      <w:r>
        <w:rPr>
          <w:rFonts w:hint="eastAsia" w:ascii="仿宋" w:hAnsi="仿宋" w:eastAsia="仿宋"/>
          <w:sz w:val="32"/>
          <w:lang w:val="zh-CN"/>
        </w:rPr>
        <w:t>变化的主要原因：单位</w:t>
      </w:r>
      <w:r>
        <w:rPr>
          <w:rFonts w:hint="eastAsia" w:ascii="仿宋" w:hAnsi="仿宋" w:eastAsia="仿宋"/>
          <w:sz w:val="32"/>
        </w:rPr>
        <w:t>人员减少。项目支出</w:t>
      </w:r>
      <w:r>
        <w:rPr>
          <w:rFonts w:hint="eastAsia" w:ascii="仿宋" w:hAnsi="仿宋" w:eastAsia="仿宋"/>
          <w:sz w:val="28"/>
        </w:rPr>
        <w:t>103.5491</w:t>
      </w:r>
      <w:r>
        <w:rPr>
          <w:rFonts w:hint="eastAsia" w:ascii="仿宋" w:hAnsi="仿宋" w:eastAsia="仿宋"/>
          <w:sz w:val="32"/>
        </w:rPr>
        <w:t>万元，比上年减少46.4273万元，下降30.96</w:t>
      </w:r>
      <w:r>
        <w:rPr>
          <w:rFonts w:hint="eastAsia" w:ascii="仿宋" w:hAnsi="仿宋" w:eastAsia="仿宋"/>
          <w:sz w:val="28"/>
        </w:rPr>
        <w:t>%</w:t>
      </w:r>
      <w:r>
        <w:rPr>
          <w:rFonts w:hint="eastAsia" w:ascii="仿宋" w:hAnsi="仿宋" w:eastAsia="仿宋"/>
          <w:sz w:val="32"/>
        </w:rPr>
        <w:t>；</w:t>
      </w:r>
      <w:r>
        <w:rPr>
          <w:rFonts w:hint="eastAsia" w:ascii="仿宋" w:hAnsi="仿宋" w:eastAsia="仿宋"/>
          <w:sz w:val="32"/>
          <w:lang w:val="zh-CN"/>
        </w:rPr>
        <w:t>变化的主要原因：2021年</w:t>
      </w:r>
      <w:r>
        <w:rPr>
          <w:rFonts w:hint="eastAsia" w:ascii="仿宋" w:hAnsi="仿宋" w:eastAsia="仿宋"/>
          <w:sz w:val="32"/>
        </w:rPr>
        <w:t>免费开放项目资金上年结转结余69.9万元在2021年列支。基本支出111.7212万元，比上年减少3.4634万元，与上年基本持平。</w:t>
      </w:r>
    </w:p>
    <w:p>
      <w:pPr>
        <w:snapToGrid w:val="0"/>
        <w:spacing w:line="520" w:lineRule="exact"/>
        <w:ind w:firstLine="800" w:firstLineChars="250"/>
        <w:rPr>
          <w:rFonts w:ascii="黑体" w:hAnsi="黑体" w:eastAsia="黑体"/>
          <w:sz w:val="32"/>
          <w:szCs w:val="32"/>
        </w:rPr>
      </w:pPr>
      <w:r>
        <w:rPr>
          <w:rFonts w:hint="eastAsia" w:ascii="黑体" w:hAnsi="黑体" w:eastAsia="黑体"/>
          <w:sz w:val="32"/>
          <w:szCs w:val="32"/>
        </w:rPr>
        <w:t>支出按经济分类科目分析。</w:t>
      </w:r>
    </w:p>
    <w:p>
      <w:pPr>
        <w:spacing w:line="520" w:lineRule="exact"/>
        <w:ind w:firstLine="640"/>
        <w:jc w:val="left"/>
        <w:rPr>
          <w:rFonts w:ascii="宋体" w:hAnsi="宋体"/>
          <w:kern w:val="0"/>
          <w:sz w:val="18"/>
          <w:lang w:val="zh-CN"/>
        </w:rPr>
      </w:pPr>
      <w:r>
        <w:rPr>
          <w:rFonts w:hint="eastAsia" w:ascii="仿宋" w:hAnsi="仿宋" w:eastAsia="仿宋"/>
          <w:sz w:val="32"/>
        </w:rPr>
        <w:t>（1）“三公”经费支出情况：2022年，</w:t>
      </w:r>
      <w:r>
        <w:rPr>
          <w:rFonts w:ascii="仿宋" w:hAnsi="仿宋" w:eastAsia="仿宋"/>
          <w:sz w:val="32"/>
        </w:rPr>
        <w:t>“</w:t>
      </w:r>
      <w:r>
        <w:rPr>
          <w:rFonts w:hint="eastAsia" w:ascii="仿宋" w:hAnsi="仿宋" w:eastAsia="仿宋"/>
          <w:sz w:val="32"/>
        </w:rPr>
        <w:t>三公</w:t>
      </w:r>
      <w:r>
        <w:rPr>
          <w:rFonts w:ascii="仿宋" w:hAnsi="仿宋" w:eastAsia="仿宋"/>
          <w:sz w:val="32"/>
        </w:rPr>
        <w:t>”</w:t>
      </w:r>
      <w:r>
        <w:rPr>
          <w:rFonts w:hint="eastAsia" w:ascii="仿宋" w:hAnsi="仿宋" w:eastAsia="仿宋"/>
          <w:sz w:val="32"/>
        </w:rPr>
        <w:t>经费完成2238元，与上年持平。</w:t>
      </w:r>
      <w:r>
        <w:rPr>
          <w:rFonts w:hint="eastAsia" w:ascii="仿宋" w:hAnsi="仿宋" w:eastAsia="仿宋"/>
          <w:sz w:val="32"/>
          <w:lang w:val="zh-CN"/>
        </w:rPr>
        <w:t>其中：</w:t>
      </w:r>
      <w:r>
        <w:rPr>
          <w:rFonts w:hint="eastAsia" w:ascii="仿宋" w:hAnsi="仿宋" w:eastAsia="仿宋"/>
          <w:sz w:val="32"/>
        </w:rPr>
        <w:t>因公出国（境）费完成0元，比上年增减0元，无变化</w:t>
      </w:r>
      <w:r>
        <w:rPr>
          <w:rFonts w:hint="eastAsia" w:ascii="仿宋" w:hAnsi="仿宋" w:eastAsia="仿宋"/>
          <w:sz w:val="32"/>
          <w:lang w:val="zh-CN"/>
        </w:rPr>
        <w:t>；</w:t>
      </w:r>
      <w:r>
        <w:rPr>
          <w:rFonts w:hint="eastAsia" w:ascii="仿宋" w:hAnsi="仿宋" w:eastAsia="仿宋"/>
          <w:sz w:val="32"/>
        </w:rPr>
        <w:t>公务接待费完成2238元，与上年持平</w:t>
      </w:r>
      <w:r>
        <w:rPr>
          <w:rFonts w:hint="eastAsia" w:ascii="仿宋" w:hAnsi="仿宋" w:eastAsia="仿宋"/>
          <w:sz w:val="32"/>
          <w:lang w:val="zh-CN"/>
        </w:rPr>
        <w:t>；</w:t>
      </w:r>
      <w:r>
        <w:rPr>
          <w:rFonts w:hint="eastAsia" w:ascii="仿宋" w:hAnsi="仿宋" w:eastAsia="仿宋"/>
          <w:sz w:val="32"/>
        </w:rPr>
        <w:t>公务用车购置及运行维护费完成0元，比上年增减0元， 无变化。</w:t>
      </w:r>
    </w:p>
    <w:p>
      <w:pPr>
        <w:snapToGrid w:val="0"/>
        <w:spacing w:line="520" w:lineRule="exact"/>
        <w:ind w:firstLine="640" w:firstLineChars="200"/>
        <w:rPr>
          <w:rFonts w:ascii="仿宋" w:hAnsi="仿宋" w:eastAsia="仿宋"/>
          <w:sz w:val="32"/>
        </w:rPr>
      </w:pPr>
      <w:r>
        <w:rPr>
          <w:rFonts w:hint="eastAsia" w:ascii="仿宋" w:hAnsi="仿宋" w:eastAsia="仿宋"/>
          <w:sz w:val="32"/>
        </w:rPr>
        <w:t>（2）会议费支出情况：当年无会议费支出。</w:t>
      </w:r>
    </w:p>
    <w:p>
      <w:pPr>
        <w:snapToGrid w:val="0"/>
        <w:spacing w:line="520" w:lineRule="exact"/>
        <w:ind w:firstLine="640" w:firstLineChars="200"/>
        <w:rPr>
          <w:rFonts w:ascii="仿宋" w:hAnsi="仿宋" w:eastAsia="仿宋"/>
          <w:sz w:val="32"/>
        </w:rPr>
      </w:pPr>
      <w:r>
        <w:rPr>
          <w:rFonts w:hint="eastAsia" w:ascii="仿宋" w:hAnsi="仿宋" w:eastAsia="仿宋"/>
          <w:sz w:val="32"/>
        </w:rPr>
        <w:t>（3）培训费支出情况：当年培训费支出5641元。</w:t>
      </w:r>
    </w:p>
    <w:p>
      <w:pPr>
        <w:snapToGrid w:val="0"/>
        <w:spacing w:line="520" w:lineRule="exact"/>
        <w:ind w:firstLine="640" w:firstLineChars="200"/>
        <w:rPr>
          <w:rFonts w:ascii="仿宋" w:hAnsi="仿宋" w:eastAsia="仿宋"/>
          <w:sz w:val="32"/>
        </w:rPr>
      </w:pPr>
      <w:r>
        <w:rPr>
          <w:rFonts w:hint="eastAsia" w:ascii="仿宋" w:hAnsi="仿宋" w:eastAsia="仿宋"/>
          <w:sz w:val="32"/>
        </w:rPr>
        <w:t>（4）其他对单位影响较大的支出情况。</w:t>
      </w:r>
    </w:p>
    <w:p>
      <w:pPr>
        <w:snapToGrid w:val="0"/>
        <w:spacing w:line="520" w:lineRule="exact"/>
        <w:ind w:firstLine="640" w:firstLineChars="200"/>
        <w:rPr>
          <w:rFonts w:ascii="仿宋" w:hAnsi="仿宋" w:eastAsia="仿宋"/>
          <w:sz w:val="32"/>
        </w:rPr>
      </w:pPr>
      <w:r>
        <w:rPr>
          <w:rFonts w:hint="eastAsia" w:ascii="仿宋" w:hAnsi="仿宋" w:eastAsia="仿宋"/>
          <w:sz w:val="32"/>
        </w:rPr>
        <w:t>（5）重点经济分类支出中存在的问题及改进措施。</w:t>
      </w:r>
    </w:p>
    <w:p>
      <w:pPr>
        <w:snapToGrid w:val="0"/>
        <w:spacing w:line="520" w:lineRule="exact"/>
        <w:ind w:firstLine="800" w:firstLineChars="250"/>
        <w:rPr>
          <w:rFonts w:ascii="黑体" w:hAnsi="黑体" w:eastAsia="黑体"/>
          <w:sz w:val="32"/>
          <w:szCs w:val="32"/>
        </w:rPr>
      </w:pPr>
      <w:r>
        <w:rPr>
          <w:rFonts w:hint="eastAsia" w:ascii="黑体" w:hAnsi="黑体" w:eastAsia="黑体"/>
          <w:sz w:val="32"/>
          <w:szCs w:val="32"/>
        </w:rPr>
        <w:t>（三）年末结转和结余情况。</w:t>
      </w:r>
    </w:p>
    <w:p>
      <w:pPr>
        <w:spacing w:line="520" w:lineRule="exact"/>
        <w:ind w:firstLine="800" w:firstLineChars="250"/>
        <w:rPr>
          <w:rFonts w:ascii="Times New Roman" w:hAnsi="Times New Roman" w:eastAsia="Times New Roman"/>
          <w:sz w:val="32"/>
        </w:rPr>
      </w:pPr>
      <w:r>
        <w:rPr>
          <w:rFonts w:hint="eastAsia" w:ascii="仿宋" w:hAnsi="仿宋" w:eastAsia="仿宋"/>
          <w:sz w:val="32"/>
        </w:rPr>
        <w:t>2022年，本单位年末结转和结余资金</w:t>
      </w:r>
      <w:r>
        <w:rPr>
          <w:rFonts w:hint="eastAsia" w:ascii="仿宋" w:hAnsi="仿宋" w:eastAsia="仿宋"/>
          <w:sz w:val="28"/>
        </w:rPr>
        <w:t>105480.09</w:t>
      </w:r>
      <w:r>
        <w:rPr>
          <w:rFonts w:hint="eastAsia" w:ascii="仿宋" w:hAnsi="仿宋" w:eastAsia="仿宋"/>
          <w:sz w:val="32"/>
        </w:rPr>
        <w:t>元，比上年减</w:t>
      </w:r>
      <w:r>
        <w:rPr>
          <w:rFonts w:hint="eastAsia" w:ascii="仿宋" w:hAnsi="仿宋" w:eastAsia="仿宋"/>
          <w:sz w:val="28"/>
        </w:rPr>
        <w:t>少70286.49</w:t>
      </w:r>
      <w:r>
        <w:rPr>
          <w:rFonts w:hint="eastAsia" w:ascii="仿宋" w:hAnsi="仿宋" w:eastAsia="仿宋"/>
          <w:sz w:val="32"/>
        </w:rPr>
        <w:t>元，下降</w:t>
      </w:r>
      <w:r>
        <w:rPr>
          <w:rFonts w:hint="eastAsia" w:ascii="仿宋" w:hAnsi="仿宋" w:eastAsia="仿宋"/>
          <w:sz w:val="28"/>
        </w:rPr>
        <w:t>39.99%，当年亏损70286.49元</w:t>
      </w:r>
      <w:r>
        <w:rPr>
          <w:rFonts w:hint="eastAsia" w:ascii="仿宋" w:hAnsi="仿宋" w:eastAsia="仿宋"/>
          <w:sz w:val="32"/>
          <w:lang w:val="zh-CN"/>
        </w:rPr>
        <w:t>。</w:t>
      </w:r>
    </w:p>
    <w:p>
      <w:pPr>
        <w:spacing w:line="520" w:lineRule="exact"/>
        <w:ind w:firstLine="643"/>
        <w:rPr>
          <w:rFonts w:ascii="Times New Roman" w:hAnsi="Times New Roman" w:eastAsia="Times New Roman"/>
          <w:sz w:val="32"/>
        </w:rPr>
      </w:pPr>
      <w:r>
        <w:rPr>
          <w:rFonts w:hint="eastAsia" w:ascii="仿宋" w:hAnsi="仿宋" w:eastAsia="仿宋"/>
          <w:sz w:val="32"/>
        </w:rPr>
        <w:t>根据资金性质其中：基本支出结转</w:t>
      </w:r>
      <w:r>
        <w:rPr>
          <w:rFonts w:hint="eastAsia" w:ascii="仿宋" w:hAnsi="仿宋" w:eastAsia="仿宋"/>
          <w:sz w:val="28"/>
        </w:rPr>
        <w:t>0</w:t>
      </w:r>
      <w:r>
        <w:rPr>
          <w:rFonts w:hint="eastAsia" w:ascii="仿宋" w:hAnsi="仿宋" w:eastAsia="仿宋"/>
          <w:sz w:val="32"/>
        </w:rPr>
        <w:t>元，与上年一致；项目支出结转结余</w:t>
      </w:r>
      <w:r>
        <w:rPr>
          <w:rFonts w:hint="eastAsia" w:ascii="仿宋" w:hAnsi="仿宋" w:eastAsia="仿宋"/>
          <w:sz w:val="28"/>
        </w:rPr>
        <w:t>0</w:t>
      </w:r>
      <w:r>
        <w:rPr>
          <w:rFonts w:hint="eastAsia" w:ascii="仿宋" w:hAnsi="仿宋" w:eastAsia="仿宋"/>
          <w:sz w:val="32"/>
        </w:rPr>
        <w:t>元</w:t>
      </w:r>
      <w:r>
        <w:rPr>
          <w:rFonts w:ascii="Times New Roman" w:hAnsi="Times New Roman" w:eastAsia="Times New Roman"/>
          <w:sz w:val="32"/>
        </w:rPr>
        <w:t>,</w:t>
      </w:r>
      <w:r>
        <w:rPr>
          <w:rFonts w:hint="eastAsia" w:ascii="仿宋" w:hAnsi="仿宋" w:eastAsia="仿宋"/>
          <w:sz w:val="32"/>
        </w:rPr>
        <w:t>比上年一致。</w:t>
      </w:r>
    </w:p>
    <w:p>
      <w:pPr>
        <w:spacing w:line="520" w:lineRule="exact"/>
        <w:ind w:firstLine="643"/>
        <w:rPr>
          <w:rFonts w:ascii="Times New Roman" w:hAnsi="Times New Roman" w:eastAsia="Times New Roman"/>
          <w:sz w:val="32"/>
        </w:rPr>
      </w:pPr>
      <w:r>
        <w:rPr>
          <w:rFonts w:hint="eastAsia" w:ascii="仿宋" w:hAnsi="仿宋" w:eastAsia="仿宋"/>
          <w:sz w:val="32"/>
        </w:rPr>
        <w:t>根据资金来源划分，当年财政拨款结转结余为0元，与上年一致；</w:t>
      </w:r>
      <w:r>
        <w:rPr>
          <w:rFonts w:hint="eastAsia" w:ascii="仿宋" w:hAnsi="仿宋" w:eastAsia="仿宋"/>
          <w:sz w:val="32"/>
          <w:lang w:val="zh-CN"/>
        </w:rPr>
        <w:t>非财政拨款结转结余为105480.09元，上年非财政拨款结转结余175766.58元，系会计差错更正调增年初非财政拨款结转结余，当年动用上年非财政拨款结余70286.49元。</w:t>
      </w:r>
    </w:p>
    <w:p>
      <w:pPr>
        <w:snapToGrid w:val="0"/>
        <w:spacing w:line="520" w:lineRule="exact"/>
        <w:ind w:firstLine="800" w:firstLineChars="250"/>
        <w:rPr>
          <w:rFonts w:ascii="黑体" w:hAnsi="黑体" w:eastAsia="黑体"/>
          <w:sz w:val="32"/>
          <w:szCs w:val="32"/>
        </w:rPr>
      </w:pPr>
    </w:p>
    <w:bookmarkEnd w:id="1"/>
    <w:p>
      <w:pPr>
        <w:widowControl/>
        <w:ind w:firstLine="640" w:firstLineChars="200"/>
        <w:textAlignment w:val="center"/>
        <w:rPr>
          <w:rFonts w:ascii="仿宋_GB2312" w:hAnsi="仿宋" w:eastAsia="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6</w:t>
    </w:r>
    <w:r>
      <w:rPr>
        <w:rFonts w:ascii="Arial" w:hAnsi="Arial" w:cs="Arial"/>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2DC24"/>
    <w:multiLevelType w:val="singleLevel"/>
    <w:tmpl w:val="9852DC2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NotTrackFormatting/>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NDI1Mjc0ZWUwYTdhMzU3ZWU2NjdmY2U5NDY1NTAifQ=="/>
  </w:docVars>
  <w:rsids>
    <w:rsidRoot w:val="00172A27"/>
    <w:rsid w:val="0000286B"/>
    <w:rsid w:val="00002EA9"/>
    <w:rsid w:val="00034F1F"/>
    <w:rsid w:val="00061F81"/>
    <w:rsid w:val="00062490"/>
    <w:rsid w:val="00075EF6"/>
    <w:rsid w:val="00085BCC"/>
    <w:rsid w:val="00086998"/>
    <w:rsid w:val="000C5EB4"/>
    <w:rsid w:val="000D2068"/>
    <w:rsid w:val="00101419"/>
    <w:rsid w:val="00132B3E"/>
    <w:rsid w:val="00172A27"/>
    <w:rsid w:val="001923BE"/>
    <w:rsid w:val="001B227F"/>
    <w:rsid w:val="001B2EA5"/>
    <w:rsid w:val="001B7F85"/>
    <w:rsid w:val="001F6674"/>
    <w:rsid w:val="001F73E3"/>
    <w:rsid w:val="0021589F"/>
    <w:rsid w:val="00225A03"/>
    <w:rsid w:val="002303E5"/>
    <w:rsid w:val="0024226F"/>
    <w:rsid w:val="002640A8"/>
    <w:rsid w:val="00267D86"/>
    <w:rsid w:val="002854AE"/>
    <w:rsid w:val="002916EC"/>
    <w:rsid w:val="002B0409"/>
    <w:rsid w:val="002B5E76"/>
    <w:rsid w:val="002C4D4C"/>
    <w:rsid w:val="002D6392"/>
    <w:rsid w:val="002E4FB7"/>
    <w:rsid w:val="002E5A4C"/>
    <w:rsid w:val="00310AAB"/>
    <w:rsid w:val="00317C02"/>
    <w:rsid w:val="00321078"/>
    <w:rsid w:val="00374E88"/>
    <w:rsid w:val="003C429A"/>
    <w:rsid w:val="003D2019"/>
    <w:rsid w:val="003E1AAC"/>
    <w:rsid w:val="003F2441"/>
    <w:rsid w:val="003F5331"/>
    <w:rsid w:val="004135C7"/>
    <w:rsid w:val="00450F65"/>
    <w:rsid w:val="00451100"/>
    <w:rsid w:val="00473DC3"/>
    <w:rsid w:val="004760F8"/>
    <w:rsid w:val="0048423D"/>
    <w:rsid w:val="00484E43"/>
    <w:rsid w:val="004A1FF7"/>
    <w:rsid w:val="004A47B5"/>
    <w:rsid w:val="004D73C5"/>
    <w:rsid w:val="0050254C"/>
    <w:rsid w:val="00516534"/>
    <w:rsid w:val="00532B71"/>
    <w:rsid w:val="00536178"/>
    <w:rsid w:val="00554195"/>
    <w:rsid w:val="005579AB"/>
    <w:rsid w:val="00567A72"/>
    <w:rsid w:val="0058144D"/>
    <w:rsid w:val="005905E3"/>
    <w:rsid w:val="00596FC7"/>
    <w:rsid w:val="005A1C67"/>
    <w:rsid w:val="005A3D5E"/>
    <w:rsid w:val="005E3F33"/>
    <w:rsid w:val="005E4E4D"/>
    <w:rsid w:val="005F0EE9"/>
    <w:rsid w:val="005F24EC"/>
    <w:rsid w:val="006001D6"/>
    <w:rsid w:val="0063797D"/>
    <w:rsid w:val="0064232D"/>
    <w:rsid w:val="006A6566"/>
    <w:rsid w:val="006C199B"/>
    <w:rsid w:val="006E60B3"/>
    <w:rsid w:val="006F1A13"/>
    <w:rsid w:val="00702A60"/>
    <w:rsid w:val="00706984"/>
    <w:rsid w:val="007148BB"/>
    <w:rsid w:val="007205E7"/>
    <w:rsid w:val="00722D25"/>
    <w:rsid w:val="00730C1A"/>
    <w:rsid w:val="0073534B"/>
    <w:rsid w:val="00740B92"/>
    <w:rsid w:val="00753608"/>
    <w:rsid w:val="007A3A5D"/>
    <w:rsid w:val="007B56C0"/>
    <w:rsid w:val="007E190A"/>
    <w:rsid w:val="007F5BB9"/>
    <w:rsid w:val="00813701"/>
    <w:rsid w:val="00827359"/>
    <w:rsid w:val="00873070"/>
    <w:rsid w:val="0091134E"/>
    <w:rsid w:val="00936CDD"/>
    <w:rsid w:val="009375CC"/>
    <w:rsid w:val="009611E7"/>
    <w:rsid w:val="00974A11"/>
    <w:rsid w:val="009906CE"/>
    <w:rsid w:val="009946F2"/>
    <w:rsid w:val="009C17C8"/>
    <w:rsid w:val="009C6927"/>
    <w:rsid w:val="009C77C8"/>
    <w:rsid w:val="009D5C34"/>
    <w:rsid w:val="00A22ECC"/>
    <w:rsid w:val="00A4001E"/>
    <w:rsid w:val="00A40A62"/>
    <w:rsid w:val="00A43E1D"/>
    <w:rsid w:val="00A65E2C"/>
    <w:rsid w:val="00A72869"/>
    <w:rsid w:val="00A90D10"/>
    <w:rsid w:val="00AB7E2C"/>
    <w:rsid w:val="00B25D13"/>
    <w:rsid w:val="00B27A04"/>
    <w:rsid w:val="00BC2CAE"/>
    <w:rsid w:val="00BE0747"/>
    <w:rsid w:val="00C0006E"/>
    <w:rsid w:val="00C00DD7"/>
    <w:rsid w:val="00C019E2"/>
    <w:rsid w:val="00C12E4C"/>
    <w:rsid w:val="00C33B94"/>
    <w:rsid w:val="00C40858"/>
    <w:rsid w:val="00C4437E"/>
    <w:rsid w:val="00C71136"/>
    <w:rsid w:val="00C86F58"/>
    <w:rsid w:val="00C922FC"/>
    <w:rsid w:val="00CB64BD"/>
    <w:rsid w:val="00CC5D34"/>
    <w:rsid w:val="00CD1B8C"/>
    <w:rsid w:val="00D21FBC"/>
    <w:rsid w:val="00D22B6A"/>
    <w:rsid w:val="00D3535F"/>
    <w:rsid w:val="00D36C1E"/>
    <w:rsid w:val="00D740FF"/>
    <w:rsid w:val="00D8075D"/>
    <w:rsid w:val="00D8690C"/>
    <w:rsid w:val="00DD54EB"/>
    <w:rsid w:val="00E247A4"/>
    <w:rsid w:val="00E5453B"/>
    <w:rsid w:val="00E75986"/>
    <w:rsid w:val="00EB5A04"/>
    <w:rsid w:val="00EC4F2A"/>
    <w:rsid w:val="00ED69D3"/>
    <w:rsid w:val="00F71DB9"/>
    <w:rsid w:val="00F9579B"/>
    <w:rsid w:val="00F961CE"/>
    <w:rsid w:val="00FB46A5"/>
    <w:rsid w:val="00FD0BA8"/>
    <w:rsid w:val="00FD4664"/>
    <w:rsid w:val="00FE0FC0"/>
    <w:rsid w:val="02680801"/>
    <w:rsid w:val="0DA11FD2"/>
    <w:rsid w:val="140E13D3"/>
    <w:rsid w:val="1A23154F"/>
    <w:rsid w:val="1E5F7104"/>
    <w:rsid w:val="204C589F"/>
    <w:rsid w:val="22B0777E"/>
    <w:rsid w:val="24C55171"/>
    <w:rsid w:val="27147861"/>
    <w:rsid w:val="27995066"/>
    <w:rsid w:val="2ADA3585"/>
    <w:rsid w:val="2BD856EC"/>
    <w:rsid w:val="2D43555F"/>
    <w:rsid w:val="2FC646B8"/>
    <w:rsid w:val="3445206D"/>
    <w:rsid w:val="383A69FC"/>
    <w:rsid w:val="38A65953"/>
    <w:rsid w:val="399B27CD"/>
    <w:rsid w:val="3C016B94"/>
    <w:rsid w:val="480B59CC"/>
    <w:rsid w:val="49D45518"/>
    <w:rsid w:val="4BC802E3"/>
    <w:rsid w:val="4D8B58D8"/>
    <w:rsid w:val="4F314FBE"/>
    <w:rsid w:val="53EB406E"/>
    <w:rsid w:val="5B9F77DD"/>
    <w:rsid w:val="66AD6467"/>
    <w:rsid w:val="6B8F6295"/>
    <w:rsid w:val="6C7D608C"/>
    <w:rsid w:val="6D545807"/>
    <w:rsid w:val="6F447CF7"/>
    <w:rsid w:val="751B021D"/>
    <w:rsid w:val="770A5210"/>
    <w:rsid w:val="7B4E1B6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脚 Char"/>
    <w:link w:val="4"/>
    <w:qFormat/>
    <w:uiPriority w:val="99"/>
    <w:rPr>
      <w:kern w:val="2"/>
      <w:sz w:val="18"/>
      <w:szCs w:val="18"/>
    </w:rPr>
  </w:style>
  <w:style w:type="character" w:customStyle="1" w:styleId="10">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103B08-FC97-43CE-ABCE-407306373EEF}">
  <ds:schemaRefs/>
</ds:datastoreItem>
</file>

<file path=docProps/app.xml><?xml version="1.0" encoding="utf-8"?>
<Properties xmlns="http://schemas.openxmlformats.org/officeDocument/2006/extended-properties" xmlns:vt="http://schemas.openxmlformats.org/officeDocument/2006/docPropsVTypes">
  <Template>Normal</Template>
  <Company>Freesoho</Company>
  <Pages>7</Pages>
  <Words>3128</Words>
  <Characters>3477</Characters>
  <Lines>25</Lines>
  <Paragraphs>7</Paragraphs>
  <TotalTime>193</TotalTime>
  <ScaleCrop>false</ScaleCrop>
  <LinksUpToDate>false</LinksUpToDate>
  <CharactersWithSpaces>3481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2022-01-28T09:23:00Z</dcterms:created>
  <dc:creator>lfq</dc:creator>
  <cp:lastModifiedBy>孙泽宇</cp:lastModifiedBy>
  <cp:lastPrinted>2022-02-10T06:59:00Z</cp:lastPrinted>
  <dcterms:modified xsi:type="dcterms:W3CDTF">2023-11-09T02:17:44Z</dcterms:modified>
  <dc:title>部门决算分析报告撰写提纲（部门用）</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03677B2D854540879EC84A05A9D84C70_13</vt:lpwstr>
  </property>
</Properties>
</file>