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snapToGrid w:val="0"/>
        <w:jc w:val="center"/>
        <w:rPr>
          <w:rFonts w:hint="eastAsia" w:ascii="方正小标宋简体" w:eastAsia="方正小标宋简体" w:cs="宋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eastAsia="方正小标宋简体" w:cs="宋体"/>
          <w:sz w:val="44"/>
          <w:szCs w:val="44"/>
        </w:rPr>
        <w:t>沅江市档案</w:t>
      </w: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馆</w:t>
      </w:r>
    </w:p>
    <w:p>
      <w:pPr>
        <w:kinsoku w:val="0"/>
        <w:autoSpaceDE w:val="0"/>
        <w:autoSpaceDN w:val="0"/>
        <w:snapToGrid w:val="0"/>
        <w:jc w:val="center"/>
        <w:rPr>
          <w:rFonts w:hint="eastAsia"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  <w:lang w:val="en-US" w:eastAsia="zh-CN"/>
        </w:rPr>
        <w:t>2022年度</w:t>
      </w:r>
      <w:r>
        <w:rPr>
          <w:rFonts w:hint="eastAsia" w:ascii="方正小标宋简体" w:eastAsia="方正小标宋简体"/>
          <w:sz w:val="44"/>
          <w:szCs w:val="44"/>
        </w:rPr>
        <w:t>整体支出绩效评价报告</w:t>
      </w:r>
    </w:p>
    <w:p>
      <w:pPr>
        <w:kinsoku w:val="0"/>
        <w:autoSpaceDE w:val="0"/>
        <w:autoSpaceDN w:val="0"/>
        <w:snapToGrid w:val="0"/>
        <w:ind w:firstLine="880" w:firstLineChars="200"/>
        <w:rPr>
          <w:rFonts w:hint="eastAsia" w:ascii="黑体" w:eastAsia="黑体"/>
          <w:sz w:val="44"/>
          <w:szCs w:val="44"/>
        </w:rPr>
      </w:pPr>
    </w:p>
    <w:p>
      <w:pPr>
        <w:tabs>
          <w:tab w:val="left" w:pos="463"/>
        </w:tabs>
        <w:kinsoku w:val="0"/>
        <w:autoSpaceDE w:val="0"/>
        <w:autoSpaceDN w:val="0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一、部门基本情况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（一）机构设置与人员情况：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沅江市档案</w:t>
      </w:r>
      <w:r>
        <w:rPr>
          <w:rFonts w:hint="eastAsia" w:ascii="仿宋_GB2312" w:eastAsia="仿宋_GB2312"/>
          <w:sz w:val="32"/>
          <w:szCs w:val="32"/>
          <w:lang w:eastAsia="zh-CN"/>
        </w:rPr>
        <w:t>馆</w:t>
      </w:r>
      <w:r>
        <w:rPr>
          <w:rFonts w:hint="eastAsia" w:ascii="仿宋_GB2312" w:eastAsia="仿宋_GB2312"/>
          <w:sz w:val="32"/>
          <w:szCs w:val="32"/>
        </w:rPr>
        <w:t>属全额拨款性质的正科级</w:t>
      </w:r>
      <w:r>
        <w:rPr>
          <w:rFonts w:hint="eastAsia" w:ascii="仿宋_GB2312" w:eastAsia="仿宋_GB2312"/>
          <w:sz w:val="32"/>
          <w:szCs w:val="32"/>
          <w:lang w:eastAsia="zh-CN"/>
        </w:rPr>
        <w:t>公益一类</w:t>
      </w:r>
      <w:r>
        <w:rPr>
          <w:rFonts w:hint="eastAsia" w:ascii="仿宋_GB2312" w:eastAsia="仿宋_GB2312"/>
          <w:sz w:val="32"/>
          <w:szCs w:val="32"/>
        </w:rPr>
        <w:t>事业单位。现有在职</w:t>
      </w:r>
      <w:r>
        <w:rPr>
          <w:rFonts w:hint="eastAsia" w:ascii="仿宋_GB2312" w:eastAsia="仿宋_GB2312"/>
          <w:sz w:val="32"/>
          <w:szCs w:val="32"/>
          <w:lang w:eastAsia="zh-CN"/>
        </w:rPr>
        <w:t>人员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退休</w:t>
      </w:r>
      <w:r>
        <w:rPr>
          <w:rFonts w:hint="eastAsia" w:ascii="仿宋_GB2312" w:eastAsia="仿宋_GB2312"/>
          <w:sz w:val="32"/>
          <w:szCs w:val="32"/>
          <w:lang w:eastAsia="zh-CN"/>
        </w:rPr>
        <w:t>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根据沅</w:t>
      </w:r>
      <w:r>
        <w:rPr>
          <w:rFonts w:hint="eastAsia" w:ascii="仿宋_GB2312" w:eastAsia="仿宋_GB2312"/>
          <w:sz w:val="32"/>
          <w:szCs w:val="32"/>
          <w:lang w:eastAsia="zh-CN"/>
        </w:rPr>
        <w:t>编发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号文件规定：内设办公室、</w:t>
      </w:r>
      <w:r>
        <w:rPr>
          <w:rFonts w:hint="eastAsia" w:ascii="仿宋_GB2312" w:eastAsia="仿宋_GB2312"/>
          <w:sz w:val="32"/>
          <w:szCs w:val="32"/>
          <w:lang w:eastAsia="zh-CN"/>
        </w:rPr>
        <w:t>接收保管股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利用编研</w:t>
      </w:r>
      <w:r>
        <w:rPr>
          <w:rFonts w:hint="eastAsia" w:ascii="仿宋_GB2312" w:eastAsia="仿宋_GB2312"/>
          <w:sz w:val="32"/>
          <w:szCs w:val="32"/>
        </w:rPr>
        <w:t>股、</w:t>
      </w:r>
      <w:r>
        <w:rPr>
          <w:rFonts w:hint="eastAsia" w:ascii="仿宋_GB2312" w:eastAsia="仿宋_GB2312"/>
          <w:sz w:val="32"/>
          <w:szCs w:val="32"/>
          <w:lang w:eastAsia="zh-CN"/>
        </w:rPr>
        <w:t>作息技术股</w:t>
      </w:r>
      <w:r>
        <w:rPr>
          <w:rFonts w:hint="eastAsia" w:ascii="仿宋_GB2312" w:eastAsia="仿宋_GB2312"/>
          <w:sz w:val="32"/>
          <w:szCs w:val="32"/>
        </w:rPr>
        <w:t>共四个股室。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YS060102"/>
      <w:r>
        <w:rPr>
          <w:rFonts w:hint="eastAsia" w:ascii="仿宋_GB2312" w:hAnsi="仿宋_GB2312" w:eastAsia="仿宋_GB2312" w:cs="仿宋_GB2312"/>
          <w:sz w:val="32"/>
          <w:szCs w:val="32"/>
        </w:rPr>
        <w:t>主要职能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档案馆主要职责是:依法开展全市机关、群团组织、企事业单位和其他组织的档案收集工作，科学规范管理档案；负责对馆藏档案资料进行整理和鉴定，编制检索工具，提供查阅利用服务；负责征集社会上具有保存利用价值的档案资料；负责全市重大活动、重大事件、重大项目档案资料的接收工作；负责做好馆藏档案有效保管保护安全工作，开展防火、防盗、防虫等“十防”工作；负责做好馆藏档案的信息化工作，开发档案信息资源；负责档案编研工作，运用编研成果办好爱国主义教育展览基地；完成上级交办的其他工作任务。</w:t>
      </w:r>
    </w:p>
    <w:p>
      <w:pPr>
        <w:pStyle w:val="4"/>
        <w:widowControl/>
        <w:spacing w:before="75" w:beforeAutospacing="0" w:after="75" w:afterAutospacing="0" w:line="450" w:lineRule="atLeast"/>
        <w:ind w:firstLine="640" w:firstLineChars="200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b/>
          <w:bCs/>
          <w:sz w:val="32"/>
          <w:szCs w:val="32"/>
        </w:rPr>
        <w:t>二、</w:t>
      </w:r>
      <w:bookmarkEnd w:id="0"/>
      <w:r>
        <w:rPr>
          <w:rFonts w:hint="eastAsia" w:ascii="黑体" w:eastAsia="黑体"/>
          <w:b/>
          <w:bCs/>
          <w:sz w:val="32"/>
          <w:szCs w:val="32"/>
        </w:rPr>
        <w:t>部门整体支出使用情况</w:t>
      </w:r>
    </w:p>
    <w:p>
      <w:pPr>
        <w:kinsoku w:val="0"/>
        <w:autoSpaceDE w:val="0"/>
        <w:autoSpaceDN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的管理和使用情况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1、2022年，本部门年初预算支出216万元，比上年增加7万元，增长3%，</w:t>
      </w:r>
      <w:r>
        <w:rPr>
          <w:rFonts w:hint="eastAsia" w:ascii="仿宋_GB2312" w:hAnsi="仿宋" w:eastAsia="仿宋_GB2312"/>
          <w:sz w:val="32"/>
          <w:szCs w:val="32"/>
          <w:lang w:val="zh-CN" w:eastAsia="zh-CN"/>
        </w:rPr>
        <w:t>增减变化的主要原因是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项目资金增加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。其中：基本</w:t>
      </w:r>
      <w:r>
        <w:rPr>
          <w:rFonts w:hint="eastAsia" w:ascii="仿宋_GB2312" w:hAnsi="仿宋" w:eastAsia="仿宋_GB2312"/>
          <w:sz w:val="32"/>
          <w:szCs w:val="32"/>
          <w:lang w:val="zh-CN"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年初预算141万元，比上年增加2万元，增长1.4%；项目支出年初预算75万元，比上年增加5万元，增长7%，</w:t>
      </w:r>
      <w:r>
        <w:rPr>
          <w:rFonts w:hint="eastAsia" w:ascii="仿宋" w:hAnsi="仿宋" w:eastAsia="仿宋" w:cs="Times New Roman"/>
          <w:sz w:val="32"/>
          <w:szCs w:val="24"/>
          <w:lang w:val="zh-CN"/>
        </w:rPr>
        <w:t>增减变化的主要原因是</w:t>
      </w:r>
      <w:r>
        <w:rPr>
          <w:rFonts w:hint="eastAsia" w:ascii="仿宋" w:hAnsi="仿宋" w:eastAsia="仿宋" w:cs="Times New Roman"/>
          <w:sz w:val="32"/>
          <w:szCs w:val="24"/>
          <w:lang w:val="en-US"/>
        </w:rPr>
        <w:t>：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项目资金增加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主要内容和涉及范围：人员经费包括基本工资、津贴补贴、奖金、其他社会保障缴费、退休费生活补助、住房公积金等；日常公用经费包括办公费、差旅费、公务接待费、劳务费、工会经费、福利费、其他交通费用、其他商品和服务支出等；项目支出主要包括</w:t>
      </w:r>
      <w:r>
        <w:rPr>
          <w:rFonts w:hint="eastAsia" w:ascii="仿宋_GB2312" w:hAnsi="å®‹ä½“" w:eastAsia="仿宋_GB2312" w:cs="仿宋_GB2312"/>
          <w:color w:val="333333"/>
          <w:sz w:val="31"/>
          <w:szCs w:val="31"/>
          <w:lang w:eastAsia="zh-CN"/>
        </w:rPr>
        <w:t>：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办公费、印刷费、差旅费、维修（护）费、劳务费、其他交通费、其他商品和服务支出、办公设备购置。开展各项专项业务工作、精准扶贫、党建所发生的全部支出。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2、年初总预算收支情况：2022年度总预算216万元，其中基本支出：141万元，主要包括：工资福利支出：127万元、商品和服务支出：14万元。项目支出：75万元，主要是业务类专项：75万元。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3、本年总预算216万元财政已全额拔款。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4、年度预算收入、支出决算及结余情况：</w:t>
      </w:r>
    </w:p>
    <w:p>
      <w:pPr>
        <w:spacing w:beforeLines="0" w:afterLines="0" w:line="52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（1）、</w:t>
      </w: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24"/>
          <w:lang w:val="en-US"/>
        </w:rPr>
        <w:t>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，预算收入决算274万元。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其中：财政预算拨款274万元。</w:t>
      </w:r>
    </w:p>
    <w:p>
      <w:pPr>
        <w:spacing w:beforeLines="0" w:afterLines="0" w:line="52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（2）、2022年，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预算</w:t>
      </w:r>
      <w:r>
        <w:rPr>
          <w:rFonts w:hint="eastAsia" w:ascii="仿宋" w:hAnsi="仿宋" w:eastAsia="仿宋"/>
          <w:sz w:val="32"/>
          <w:szCs w:val="24"/>
          <w:lang w:val="en-US"/>
        </w:rPr>
        <w:t>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决算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274</w:t>
      </w:r>
      <w:r>
        <w:rPr>
          <w:rFonts w:hint="eastAsia" w:ascii="仿宋" w:hAnsi="仿宋" w:eastAsia="仿宋"/>
          <w:sz w:val="32"/>
          <w:szCs w:val="24"/>
          <w:lang w:val="en-US"/>
        </w:rPr>
        <w:t>万元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24"/>
          <w:lang w:val="en-US"/>
        </w:rPr>
        <w:t>其中：基本支出完成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183</w:t>
      </w:r>
      <w:r>
        <w:rPr>
          <w:rFonts w:hint="eastAsia" w:ascii="仿宋" w:hAnsi="仿宋" w:eastAsia="仿宋"/>
          <w:sz w:val="32"/>
          <w:szCs w:val="24"/>
          <w:lang w:val="en-US"/>
        </w:rPr>
        <w:t>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主要包括：人员经费158万元、公用经费25万元。</w:t>
      </w:r>
      <w:r>
        <w:rPr>
          <w:rFonts w:hint="eastAsia" w:ascii="仿宋" w:hAnsi="仿宋" w:eastAsia="仿宋"/>
          <w:sz w:val="32"/>
          <w:szCs w:val="24"/>
          <w:lang w:val="en-US"/>
        </w:rPr>
        <w:t>项目支出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91</w:t>
      </w:r>
      <w:r>
        <w:rPr>
          <w:rFonts w:hint="eastAsia" w:ascii="仿宋" w:hAnsi="仿宋" w:eastAsia="仿宋"/>
          <w:sz w:val="32"/>
          <w:szCs w:val="24"/>
          <w:lang w:val="en-US"/>
        </w:rPr>
        <w:t>万元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主要包括：各业务项目支出73万元、资本性支出18万元。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5、“三公经费”情况。今年“三公经费”总支出0.7万元，比去年增长2.79%。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专项支出的管理和使用情况</w:t>
      </w:r>
    </w:p>
    <w:p>
      <w:pPr>
        <w:widowControl/>
        <w:spacing w:line="360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18"/>
          <w:szCs w:val="18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1、</w:t>
      </w:r>
      <w:r>
        <w:rPr>
          <w:rFonts w:ascii="仿宋_GB2312" w:hAnsi="宋体" w:eastAsia="仿宋_GB2312"/>
          <w:b/>
          <w:sz w:val="32"/>
          <w:szCs w:val="32"/>
        </w:rPr>
        <w:t>基本情况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根据湘办发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[2014]29号文件及湘政办函[2015]42号文件精神，落实好湖南省人民下放办公厅印发《关于加强和改进新形势下档案工作的实施意见》的通知，做好洞庭湖生态经济区专题档案资源数据建设有关工作的通知。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省、市档案主管部门及沅办发〔2007〕6号文件规定，</w:t>
      </w:r>
      <w:r>
        <w:rPr>
          <w:rFonts w:hint="eastAsia" w:ascii="仿宋_GB2312" w:eastAsia="仿宋_GB2312"/>
          <w:sz w:val="32"/>
          <w:szCs w:val="32"/>
          <w:lang w:eastAsia="zh-CN"/>
        </w:rPr>
        <w:t>做好档案信息化、珍贵档案征集及抢护、专用设备维修维护等工作。</w:t>
      </w:r>
    </w:p>
    <w:p>
      <w:pPr>
        <w:widowControl/>
        <w:numPr>
          <w:ilvl w:val="0"/>
          <w:numId w:val="3"/>
        </w:numPr>
        <w:spacing w:line="360" w:lineRule="atLeas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>资金管理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和使用</w:t>
      </w:r>
      <w:r>
        <w:rPr>
          <w:rFonts w:ascii="仿宋_GB2312" w:hAnsi="宋体" w:eastAsia="仿宋_GB2312"/>
          <w:b/>
          <w:sz w:val="32"/>
          <w:szCs w:val="32"/>
        </w:rPr>
        <w:t>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）、专项预算收入：</w:t>
      </w:r>
      <w:r>
        <w:rPr>
          <w:rFonts w:ascii="仿宋_GB2312" w:hAnsi="宋体" w:eastAsia="仿宋_GB2312"/>
          <w:sz w:val="32"/>
          <w:szCs w:val="32"/>
        </w:rPr>
        <w:t>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馆</w:t>
      </w:r>
      <w:r>
        <w:rPr>
          <w:rFonts w:hint="eastAsia" w:ascii="仿宋_GB2312" w:eastAsia="仿宋_GB2312"/>
          <w:sz w:val="32"/>
          <w:szCs w:val="32"/>
        </w:rPr>
        <w:t>属全额拨款</w:t>
      </w:r>
      <w:r>
        <w:rPr>
          <w:rFonts w:hint="eastAsia" w:ascii="仿宋_GB2312" w:eastAsia="仿宋_GB2312"/>
          <w:sz w:val="32"/>
          <w:szCs w:val="32"/>
          <w:lang w:eastAsia="zh-CN"/>
        </w:rPr>
        <w:t>的事业单位，年初财政预算专项资金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75万元已全部拨付到位。</w:t>
      </w:r>
    </w:p>
    <w:p>
      <w:pPr>
        <w:ind w:firstLine="640" w:firstLineChars="200"/>
        <w:jc w:val="left"/>
        <w:rPr>
          <w:rFonts w:hint="eastAsia" w:ascii="仿宋_GB2312" w:hAnsi="黑体" w:eastAsia="仿宋_GB2312" w:cs="黑体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2）、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专项预算</w:t>
      </w:r>
      <w:r>
        <w:rPr>
          <w:rFonts w:hint="eastAsia" w:ascii="仿宋_GB2312" w:hAnsi="仿宋" w:eastAsia="仿宋_GB2312"/>
          <w:sz w:val="32"/>
          <w:szCs w:val="32"/>
        </w:rPr>
        <w:t>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决算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91</w:t>
      </w:r>
      <w:r>
        <w:rPr>
          <w:rFonts w:hint="eastAsia" w:ascii="仿宋" w:hAnsi="仿宋" w:eastAsia="仿宋"/>
          <w:sz w:val="32"/>
          <w:szCs w:val="24"/>
          <w:lang w:val="en-US"/>
        </w:rPr>
        <w:t>万元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主要包括：各业务项目支出75万元、资本性支出18万元，</w:t>
      </w:r>
      <w:r>
        <w:rPr>
          <w:rFonts w:hint="eastAsia" w:ascii="仿宋_GB2312" w:hAnsi="仿宋" w:eastAsia="仿宋_GB2312"/>
          <w:sz w:val="32"/>
          <w:szCs w:val="32"/>
        </w:rPr>
        <w:t>全部用各项专项建设。</w:t>
      </w:r>
    </w:p>
    <w:p>
      <w:pPr>
        <w:numPr>
          <w:ilvl w:val="0"/>
          <w:numId w:val="4"/>
        </w:numPr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部门整体支出管理情况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总的来说，我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财务管理较为严格，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>
      <w:pPr>
        <w:widowControl/>
        <w:numPr>
          <w:ilvl w:val="0"/>
          <w:numId w:val="4"/>
        </w:numPr>
        <w:shd w:val="clear" w:color="auto" w:fill="FFFFFF"/>
        <w:spacing w:line="600" w:lineRule="atLeast"/>
        <w:ind w:firstLine="643" w:firstLineChars="20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部门整体支出绩效情况</w:t>
      </w:r>
    </w:p>
    <w:p>
      <w:pPr>
        <w:widowControl/>
        <w:shd w:val="clear" w:color="auto" w:fill="FFFFFF"/>
        <w:spacing w:line="600" w:lineRule="atLeast"/>
        <w:ind w:firstLine="64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根据市财政局要求，我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以绩效评估为契机，认真对照评估指标，按照年度工作计划扎实推进20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年度财政支出绩效自评工作。总的来说，20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全体干职工积极履职、扎实工作，较好完成了全年工作目标。</w:t>
      </w:r>
    </w:p>
    <w:p>
      <w:pPr>
        <w:widowControl/>
        <w:numPr>
          <w:ilvl w:val="0"/>
          <w:numId w:val="0"/>
        </w:numPr>
        <w:spacing w:line="360" w:lineRule="atLeas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1、</w:t>
      </w:r>
      <w:r>
        <w:rPr>
          <w:rFonts w:ascii="仿宋_GB2312" w:hAnsi="宋体" w:eastAsia="仿宋_GB2312"/>
          <w:b/>
          <w:sz w:val="32"/>
          <w:szCs w:val="32"/>
        </w:rPr>
        <w:t>资金管理情况</w:t>
      </w:r>
    </w:p>
    <w:p>
      <w:pPr>
        <w:widowControl/>
        <w:numPr>
          <w:ilvl w:val="0"/>
          <w:numId w:val="0"/>
        </w:numPr>
        <w:spacing w:line="360" w:lineRule="atLeast"/>
        <w:ind w:firstLine="640" w:firstLineChars="200"/>
        <w:rPr>
          <w:rFonts w:hint="eastAsia" w:ascii="仿宋_GB2312" w:hAnsi="宋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（一）基本支出：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人员经费包括基本工资、津贴补贴、奖金、其他社会保障缴费、退休费生活补助、住房公积金等；日常公用经费包括办公费、差旅费、公务接待费、劳务费、工会经费、福利费、其他交通费用、其他商品和服务支出等</w:t>
      </w:r>
      <w:r>
        <w:rPr>
          <w:rFonts w:hint="eastAsia" w:ascii="仿宋_GB2312" w:hAnsi="å®‹ä½“" w:eastAsia="仿宋_GB2312" w:cs="仿宋_GB2312"/>
          <w:color w:val="333333"/>
          <w:sz w:val="31"/>
          <w:szCs w:val="3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项目资金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档案信息化建设专项、抢救及珍贵档案征集专项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等专项资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75万元已到位。</w:t>
      </w:r>
      <w:r>
        <w:rPr>
          <w:rFonts w:ascii="仿宋_GB2312" w:hAnsi="宋体" w:eastAsia="仿宋_GB2312"/>
          <w:sz w:val="32"/>
          <w:szCs w:val="32"/>
        </w:rPr>
        <w:t>该项自评为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/>
          <w:sz w:val="32"/>
          <w:szCs w:val="32"/>
        </w:rPr>
        <w:t>分。</w:t>
      </w:r>
    </w:p>
    <w:p>
      <w:pPr>
        <w:widowControl/>
        <w:spacing w:line="360" w:lineRule="atLeas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（三）</w:t>
      </w:r>
      <w:r>
        <w:rPr>
          <w:rFonts w:ascii="仿宋_GB2312" w:hAnsi="宋体" w:eastAsia="仿宋_GB2312"/>
          <w:sz w:val="32"/>
          <w:szCs w:val="32"/>
        </w:rPr>
        <w:t>资金筹集。我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馆</w:t>
      </w:r>
      <w:r>
        <w:rPr>
          <w:rFonts w:hint="eastAsia" w:ascii="仿宋_GB2312" w:eastAsia="仿宋_GB2312"/>
          <w:sz w:val="32"/>
          <w:szCs w:val="32"/>
        </w:rPr>
        <w:t>属全额拨款</w:t>
      </w:r>
      <w:r>
        <w:rPr>
          <w:rFonts w:hint="eastAsia" w:ascii="仿宋_GB2312" w:eastAsia="仿宋_GB2312"/>
          <w:sz w:val="32"/>
          <w:szCs w:val="32"/>
          <w:lang w:eastAsia="zh-CN"/>
        </w:rPr>
        <w:t>的事业单位，</w:t>
      </w:r>
      <w:r>
        <w:rPr>
          <w:rFonts w:hint="eastAsia" w:ascii="仿宋_GB2312" w:eastAsia="仿宋_GB2312"/>
          <w:sz w:val="32"/>
          <w:szCs w:val="32"/>
        </w:rPr>
        <w:t>档案信息化建设</w:t>
      </w:r>
      <w:r>
        <w:rPr>
          <w:rFonts w:hint="eastAsia" w:ascii="仿宋_GB2312" w:eastAsia="仿宋_GB2312"/>
          <w:sz w:val="32"/>
          <w:szCs w:val="32"/>
          <w:lang w:eastAsia="zh-CN"/>
        </w:rPr>
        <w:t>是一项</w:t>
      </w:r>
      <w:r>
        <w:rPr>
          <w:rFonts w:hint="eastAsia" w:ascii="仿宋_GB2312" w:eastAsia="仿宋_GB2312"/>
          <w:sz w:val="32"/>
          <w:szCs w:val="32"/>
        </w:rPr>
        <w:t>的基础</w:t>
      </w:r>
      <w:r>
        <w:rPr>
          <w:rFonts w:hint="eastAsia" w:ascii="仿宋_GB2312" w:eastAsia="仿宋_GB2312"/>
          <w:sz w:val="32"/>
          <w:szCs w:val="32"/>
          <w:lang w:eastAsia="zh-CN"/>
        </w:rPr>
        <w:t>性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，工作</w:t>
      </w:r>
      <w:r>
        <w:rPr>
          <w:rFonts w:ascii="仿宋_GB2312" w:hAnsi="宋体" w:eastAsia="仿宋_GB2312"/>
          <w:sz w:val="32"/>
          <w:szCs w:val="32"/>
        </w:rPr>
        <w:t>任务重，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此项工作资金已纳入了</w:t>
      </w:r>
      <w:r>
        <w:rPr>
          <w:rFonts w:ascii="仿宋_GB2312" w:hAnsi="宋体" w:eastAsia="仿宋_GB2312"/>
          <w:sz w:val="32"/>
          <w:szCs w:val="32"/>
        </w:rPr>
        <w:t>我市财政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预算专项资金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30万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å®‹ä½“" w:eastAsia="仿宋_GB2312" w:cs="仿宋_GB2312"/>
          <w:color w:val="333333"/>
          <w:sz w:val="31"/>
          <w:szCs w:val="31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（三）项目资金使用情况：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2022年预算内项目资金75万元已到位并全部用于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项目支出</w:t>
      </w:r>
      <w:r>
        <w:rPr>
          <w:rFonts w:hint="eastAsia" w:ascii="仿宋_GB2312" w:hAnsi="å®‹ä½“" w:eastAsia="仿宋_GB2312" w:cs="仿宋_GB2312"/>
          <w:color w:val="333333"/>
          <w:sz w:val="31"/>
          <w:szCs w:val="31"/>
          <w:lang w:eastAsia="zh-CN"/>
        </w:rPr>
        <w:t>，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主要包括</w:t>
      </w:r>
      <w:r>
        <w:rPr>
          <w:rFonts w:hint="eastAsia" w:ascii="仿宋_GB2312" w:hAnsi="å®‹ä½“" w:eastAsia="仿宋_GB2312" w:cs="仿宋_GB2312"/>
          <w:color w:val="333333"/>
          <w:sz w:val="31"/>
          <w:szCs w:val="31"/>
          <w:lang w:eastAsia="zh-CN"/>
        </w:rPr>
        <w:t>：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办公费、印刷费、差旅费、维修（护）费、劳务费、其他商品和服务支出、办公设备购置。开展各项专项业务工作、精准扶贫、党建所发生的全部支出。</w:t>
      </w:r>
    </w:p>
    <w:p>
      <w:pPr>
        <w:widowControl/>
        <w:spacing w:line="360" w:lineRule="atLeas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2、</w:t>
      </w:r>
      <w:r>
        <w:rPr>
          <w:rFonts w:ascii="仿宋_GB2312" w:hAnsi="宋体" w:eastAsia="仿宋_GB2312"/>
          <w:b/>
          <w:sz w:val="32"/>
          <w:szCs w:val="32"/>
        </w:rPr>
        <w:t>项目管理</w:t>
      </w:r>
    </w:p>
    <w:p>
      <w:pPr>
        <w:widowControl/>
        <w:spacing w:line="360" w:lineRule="atLeast"/>
        <w:ind w:firstLine="48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项目任务协议书的签订</w:t>
      </w:r>
      <w:r>
        <w:rPr>
          <w:rFonts w:ascii="仿宋_GB2312" w:hAnsi="宋体" w:eastAsia="仿宋_GB2312"/>
          <w:sz w:val="32"/>
          <w:szCs w:val="32"/>
        </w:rPr>
        <w:t>。我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馆与各项劳务服务签订协作协议书。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eastAsia="zh-CN"/>
        </w:rPr>
        <w:t>项目资金管理制度：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、专项资金实行“专人管理、专账核算、专项使用”。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、资金的拨付本着专款专用的原则，严格执行项目资金批准的使用计划和项目批复内容，不准擅自调项、扩项、缩项，更不准拆借、挪用、挤占和随意扣压；不得抵顶单位行政、事业经费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</w:rPr>
        <w:t>资金拨付动向，按不同专项资金的要求执行，不准任意改变；特殊情况，必须请示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、专项资金报账拨付要附真实、有效、合法的凭证。严格专项资金初审、审核、审核制度，不准缺项和越程序办理手续，以该专项资金审批表所列内容和文件要求为准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、加强审计监督，对专项资金定期或不定期进行督查，确保项目资金专款专用，项目</w:t>
      </w:r>
      <w:r>
        <w:rPr>
          <w:rFonts w:hint="eastAsia" w:ascii="仿宋_GB2312" w:eastAsia="仿宋_GB2312"/>
          <w:sz w:val="32"/>
          <w:szCs w:val="32"/>
          <w:lang w:eastAsia="zh-CN"/>
        </w:rPr>
        <w:t>完成后报省局验收。</w:t>
      </w:r>
    </w:p>
    <w:p>
      <w:pPr>
        <w:widowControl/>
        <w:spacing w:line="360" w:lineRule="atLeas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/>
          <w:sz w:val="32"/>
          <w:szCs w:val="32"/>
        </w:rPr>
        <w:t>、合法合规性。我市各级财政部门均按文件规定及时拨付上级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专项</w:t>
      </w:r>
      <w:r>
        <w:rPr>
          <w:rFonts w:ascii="仿宋_GB2312" w:hAnsi="宋体" w:eastAsia="仿宋_GB2312"/>
          <w:sz w:val="32"/>
          <w:szCs w:val="32"/>
        </w:rPr>
        <w:t>资金，不存在资金截留、挪用等违规违纪行为。</w:t>
      </w:r>
    </w:p>
    <w:p>
      <w:pPr>
        <w:tabs>
          <w:tab w:val="left" w:pos="635"/>
        </w:tabs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项目效益情况</w:t>
      </w:r>
      <w:r>
        <w:rPr>
          <w:rFonts w:hint="eastAsia" w:ascii="楷体" w:hAnsi="楷体" w:eastAsia="楷体" w:cs="楷体"/>
          <w:sz w:val="32"/>
          <w:szCs w:val="32"/>
        </w:rPr>
        <w:t> 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项目组织情况</w:t>
      </w:r>
      <w:r>
        <w:rPr>
          <w:rFonts w:hint="eastAsia" w:ascii="仿宋_GB2312" w:eastAsia="仿宋_GB2312"/>
          <w:sz w:val="32"/>
          <w:szCs w:val="32"/>
          <w:lang w:eastAsia="zh-CN"/>
        </w:rPr>
        <w:t>：档案信息化工作中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条目录入</w:t>
      </w:r>
      <w:r>
        <w:rPr>
          <w:rFonts w:hint="eastAsia" w:ascii="仿宋_GB2312" w:eastAsia="仿宋_GB2312"/>
          <w:sz w:val="32"/>
          <w:szCs w:val="32"/>
          <w:lang w:eastAsia="zh-CN"/>
        </w:rPr>
        <w:t>已按要求全部录入完成。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项目绩效目标完成情况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:沅江市档案馆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任务名称：“档案条目录入”年初预算150000条。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数量指标：年初计划150000条，已完成150000条。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质量指标：按年初计划完成150000条并已验收使用。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时效指标：一年内完成。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成本指标：控制在项目资金额度内。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社会效益：改进查阅方式，努力提供一站式服务，做到便民利民。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该项自评为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ascii="仿宋_GB2312" w:hAnsi="宋体" w:eastAsia="仿宋_GB2312"/>
          <w:sz w:val="32"/>
          <w:szCs w:val="32"/>
        </w:rPr>
        <w:t>分。</w:t>
      </w:r>
    </w:p>
    <w:p>
      <w:pPr>
        <w:widowControl/>
        <w:spacing w:line="360" w:lineRule="atLeast"/>
        <w:ind w:firstLine="480"/>
        <w:jc w:val="left"/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 项目效益情况项自评为5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/>
          <w:sz w:val="32"/>
          <w:szCs w:val="32"/>
        </w:rPr>
        <w:t>分。</w:t>
      </w:r>
      <w:r>
        <w:rPr>
          <w:rFonts w:hint="eastAsia" w:ascii="仿宋_GB2312" w:hAnsi="新宋体" w:eastAsia="仿宋_GB2312" w:cs="宋体"/>
          <w:color w:val="000000"/>
          <w:kern w:val="0"/>
          <w:sz w:val="32"/>
          <w:szCs w:val="32"/>
        </w:rPr>
        <w:t>　　</w:t>
      </w:r>
    </w:p>
    <w:p>
      <w:pPr>
        <w:widowControl/>
        <w:spacing w:line="360" w:lineRule="atLeast"/>
        <w:ind w:firstLine="48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楷体_GB2312" w:hAnsi="新宋体" w:eastAsia="楷体_GB2312" w:cs="宋体"/>
          <w:b/>
          <w:color w:val="000000"/>
          <w:kern w:val="0"/>
          <w:sz w:val="32"/>
          <w:szCs w:val="32"/>
        </w:rPr>
        <w:t>　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b/>
          <w:sz w:val="32"/>
          <w:szCs w:val="32"/>
        </w:rPr>
        <w:t>居民满意度</w:t>
      </w:r>
    </w:p>
    <w:p>
      <w:pPr>
        <w:widowControl/>
        <w:spacing w:line="360" w:lineRule="atLeast"/>
        <w:ind w:firstLine="48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 经调查，我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馆档案条目目录的录入，大大缩短了档案查、调阅的时间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群众</w:t>
      </w:r>
      <w:r>
        <w:rPr>
          <w:rFonts w:ascii="仿宋_GB2312" w:hAnsi="宋体" w:eastAsia="仿宋_GB2312"/>
          <w:sz w:val="32"/>
          <w:szCs w:val="32"/>
        </w:rPr>
        <w:t>满意度达到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sz w:val="32"/>
          <w:szCs w:val="32"/>
        </w:rPr>
        <w:t>5%。该项自评为10分。</w:t>
      </w:r>
    </w:p>
    <w:p>
      <w:pPr>
        <w:widowControl/>
        <w:spacing w:line="36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居民满意度情况项自评为10分。 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五、部门整体支出绩效评价</w:t>
      </w:r>
      <w:r>
        <w:rPr>
          <w:rFonts w:hint="eastAsia" w:ascii="黑体" w:eastAsia="黑体"/>
          <w:b/>
          <w:color w:val="000000"/>
          <w:kern w:val="0"/>
          <w:sz w:val="32"/>
          <w:szCs w:val="32"/>
        </w:rPr>
        <w:t>存在的主要问题及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建议</w:t>
      </w:r>
    </w:p>
    <w:p>
      <w:pPr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color w:val="000000"/>
          <w:kern w:val="0"/>
          <w:sz w:val="32"/>
          <w:szCs w:val="32"/>
        </w:rPr>
        <w:t>存在的问题</w:t>
      </w:r>
    </w:p>
    <w:p>
      <w:pPr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（1）项目建设程序有待进一步规范。</w:t>
      </w:r>
    </w:p>
    <w:p>
      <w:pPr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（2）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需加强</w:t>
      </w:r>
      <w:r>
        <w:rPr>
          <w:rFonts w:eastAsia="仿宋_GB2312"/>
          <w:color w:val="000000"/>
          <w:kern w:val="0"/>
          <w:sz w:val="32"/>
          <w:szCs w:val="32"/>
        </w:rPr>
        <w:t>专业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业务与专业技术的学习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（3）项目后续管理有待进一步加强。</w:t>
      </w:r>
    </w:p>
    <w:p>
      <w:pPr>
        <w:widowControl/>
        <w:shd w:val="clear" w:color="auto" w:fill="FFFFFF"/>
        <w:spacing w:line="315" w:lineRule="atLeast"/>
        <w:ind w:right="48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建议：</w:t>
      </w:r>
    </w:p>
    <w:p>
      <w:pPr>
        <w:widowControl/>
        <w:numPr>
          <w:ilvl w:val="0"/>
          <w:numId w:val="5"/>
        </w:numPr>
        <w:shd w:val="clear" w:color="auto" w:fill="FFFFFF"/>
        <w:spacing w:line="315" w:lineRule="atLeast"/>
        <w:ind w:right="48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进一步完善、明确和细化各项费用支出管理制度，严格控制招待费和各项费用支出。</w:t>
      </w:r>
    </w:p>
    <w:p>
      <w:pPr>
        <w:widowControl/>
        <w:numPr>
          <w:ilvl w:val="0"/>
          <w:numId w:val="5"/>
        </w:numPr>
        <w:shd w:val="clear" w:color="auto" w:fill="FFFFFF"/>
        <w:spacing w:line="315" w:lineRule="atLeast"/>
        <w:ind w:right="48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加强固定资产的管理，配置专管部门和专管人员，建立固定资产卡片，切实做到账卡相符、账物相符。</w:t>
      </w:r>
    </w:p>
    <w:p>
      <w:pPr>
        <w:widowControl/>
        <w:numPr>
          <w:ilvl w:val="0"/>
          <w:numId w:val="5"/>
        </w:numPr>
        <w:shd w:val="clear" w:color="auto" w:fill="FFFFFF"/>
        <w:spacing w:line="315" w:lineRule="atLeast"/>
        <w:ind w:right="48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加强内部管理，增强有效控制力。</w:t>
      </w:r>
    </w:p>
    <w:p>
      <w:pPr>
        <w:widowControl/>
        <w:shd w:val="clear" w:color="auto" w:fill="FFFFFF"/>
        <w:spacing w:line="315" w:lineRule="atLeast"/>
        <w:ind w:right="48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autoSpaceDE w:val="0"/>
        <w:autoSpaceDN w:val="0"/>
        <w:snapToGrid w:val="0"/>
        <w:spacing w:line="52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      沅江市档案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馆</w:t>
      </w:r>
    </w:p>
    <w:p>
      <w:pPr>
        <w:kinsoku w:val="0"/>
        <w:autoSpaceDE w:val="0"/>
        <w:autoSpaceDN w:val="0"/>
        <w:snapToGrid w:val="0"/>
        <w:spacing w:line="520" w:lineRule="exact"/>
        <w:ind w:firstLine="640" w:firstLineChars="200"/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      20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3A515"/>
    <w:multiLevelType w:val="singleLevel"/>
    <w:tmpl w:val="CA13A51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B0B2EE"/>
    <w:multiLevelType w:val="singleLevel"/>
    <w:tmpl w:val="59B0B2EE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9B9F480"/>
    <w:multiLevelType w:val="singleLevel"/>
    <w:tmpl w:val="59B9F48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BB897C"/>
    <w:multiLevelType w:val="singleLevel"/>
    <w:tmpl w:val="59BB897C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619FBFD0"/>
    <w:multiLevelType w:val="singleLevel"/>
    <w:tmpl w:val="619FBF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jFmNzAxYjI2MTQ1OTJlOGU3M2NhNmI3ZmQzYTIifQ=="/>
  </w:docVars>
  <w:rsids>
    <w:rsidRoot w:val="304878ED"/>
    <w:rsid w:val="04141B60"/>
    <w:rsid w:val="04AD5A9C"/>
    <w:rsid w:val="08A52FEB"/>
    <w:rsid w:val="0B056E0E"/>
    <w:rsid w:val="0B7C1F86"/>
    <w:rsid w:val="0DD537BB"/>
    <w:rsid w:val="0E046442"/>
    <w:rsid w:val="141210EC"/>
    <w:rsid w:val="14D964F6"/>
    <w:rsid w:val="16203F1B"/>
    <w:rsid w:val="17A80401"/>
    <w:rsid w:val="182F467F"/>
    <w:rsid w:val="186D1358"/>
    <w:rsid w:val="19B1212B"/>
    <w:rsid w:val="246102B6"/>
    <w:rsid w:val="2618130A"/>
    <w:rsid w:val="2B9C2721"/>
    <w:rsid w:val="2C944709"/>
    <w:rsid w:val="304878ED"/>
    <w:rsid w:val="30BE20EA"/>
    <w:rsid w:val="36AF2D56"/>
    <w:rsid w:val="396D18AA"/>
    <w:rsid w:val="3B90705F"/>
    <w:rsid w:val="3DD45E36"/>
    <w:rsid w:val="44641089"/>
    <w:rsid w:val="45962CED"/>
    <w:rsid w:val="45BD0F2C"/>
    <w:rsid w:val="49D9243E"/>
    <w:rsid w:val="4CBE1552"/>
    <w:rsid w:val="4CEB6AE4"/>
    <w:rsid w:val="4E5E2FEC"/>
    <w:rsid w:val="4F1A1A36"/>
    <w:rsid w:val="50FD5986"/>
    <w:rsid w:val="512121A8"/>
    <w:rsid w:val="53DA3A82"/>
    <w:rsid w:val="5535386F"/>
    <w:rsid w:val="553625CD"/>
    <w:rsid w:val="5C476D11"/>
    <w:rsid w:val="5C9B1C8D"/>
    <w:rsid w:val="5F151EED"/>
    <w:rsid w:val="65BD63F3"/>
    <w:rsid w:val="6B144442"/>
    <w:rsid w:val="6BF41D3B"/>
    <w:rsid w:val="6DA62F42"/>
    <w:rsid w:val="6DEC1F6B"/>
    <w:rsid w:val="6E633A21"/>
    <w:rsid w:val="6F060E0B"/>
    <w:rsid w:val="72964253"/>
    <w:rsid w:val="7B7F6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2794</Words>
  <Characters>2922</Characters>
  <Lines>0</Lines>
  <Paragraphs>0</Paragraphs>
  <TotalTime>5</TotalTime>
  <ScaleCrop>false</ScaleCrop>
  <LinksUpToDate>false</LinksUpToDate>
  <CharactersWithSpaces>3002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2020-07-14T12:36:00Z</dcterms:created>
  <dc:creator>&amp;冰~~封&amp;</dc:creator>
  <cp:lastModifiedBy>孙泽宇</cp:lastModifiedBy>
  <cp:lastPrinted>2023-05-05T08:47:00Z</cp:lastPrinted>
  <dcterms:modified xsi:type="dcterms:W3CDTF">2023-11-09T02:15:28Z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EEA310891140446894E4E04D76D9B81C_13</vt:lpwstr>
  </property>
</Properties>
</file>