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880" w:firstLineChars="200"/>
        <w:jc w:val="center"/>
        <w:rPr>
          <w:rFonts w:ascii="黑体" w:eastAsia="黑体"/>
          <w:sz w:val="44"/>
          <w:szCs w:val="44"/>
        </w:rPr>
      </w:pPr>
      <w:bookmarkStart w:id="0" w:name="_GoBack"/>
      <w:bookmarkEnd w:id="0"/>
      <w:r>
        <w:rPr>
          <w:rFonts w:hint="eastAsia" w:ascii="黑体" w:eastAsia="黑体"/>
          <w:sz w:val="44"/>
          <w:szCs w:val="44"/>
        </w:rPr>
        <w:t>2022年交警大队绩效自评</w:t>
      </w:r>
    </w:p>
    <w:p>
      <w:pPr>
        <w:spacing w:line="500" w:lineRule="exact"/>
        <w:ind w:firstLine="640" w:firstLineChars="200"/>
        <w:rPr>
          <w:rFonts w:ascii="黑体" w:eastAsia="黑体"/>
          <w:sz w:val="32"/>
          <w:szCs w:val="32"/>
        </w:rPr>
      </w:pPr>
      <w:r>
        <w:rPr>
          <w:rFonts w:hint="eastAsia" w:ascii="黑体" w:eastAsia="黑体"/>
          <w:sz w:val="32"/>
          <w:szCs w:val="32"/>
        </w:rPr>
        <w:t>一、部门基本情况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（一）机构设置情况。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沅江市公安局交通警察大队为全额拨款正科级行政单位，大队内设机构为九队一所，即综合指导中队、法制宣传中队、秩序管理中队、事故预防与处理中队、科技设施与视频侦查中队、一中队、二中队、三中队、四中队、车辆管理所。</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（二）人员情况。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实有在职人员70人，其中公务员及参公人员70人，离退休26人，协警103人。</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（三）主要工作职责。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沅江市公安局交通警察大队主要职能是负责全市道路交通管理工作。宣传贯彻执行道路交通管理法律法规，指挥疏导交通，维护道路交通秩序，预防和处理道路交通事故，组织开展交通安全秩序整顿，管理机动车辆和驾驶人，担负交通警卫，依法查处交通违法，打击交通肇事犯罪，处置突发性交通事件，规划、建设、管理道路安全设施，促进道路交通安全管理规范化、法制化、社会化，保障全市道路交通有序、安全、畅通，维护社会政治稳定。</w:t>
      </w:r>
    </w:p>
    <w:p>
      <w:pPr>
        <w:spacing w:line="500" w:lineRule="exact"/>
        <w:ind w:firstLine="640" w:firstLineChars="200"/>
        <w:rPr>
          <w:rFonts w:ascii="黑体" w:eastAsia="黑体"/>
          <w:sz w:val="32"/>
          <w:szCs w:val="32"/>
        </w:rPr>
      </w:pPr>
      <w:r>
        <w:rPr>
          <w:rFonts w:hint="eastAsia" w:ascii="黑体" w:eastAsia="黑体"/>
          <w:sz w:val="32"/>
          <w:szCs w:val="32"/>
        </w:rPr>
        <w:t>二、部门整体支出管理及使用情况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（一）基本支出的管理和使用情况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1、介绍基本支出的主要用途范围及资金的管理情况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2022年我大队基本支出：3111.646万元（工资福利支出：1264.547万元，一般商品和服务支出：1357.612万元，对个人和家庭补助支出54.605万元，资本性支出434.882万元）。</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2、年初总预算收支情况。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2022年初预算收入2184.93万元，预算支出2184.93万元。</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3、本年财政拨款预算追加及年度可用财政拨款预算指标</w:t>
      </w:r>
    </w:p>
    <w:p>
      <w:pPr>
        <w:spacing w:line="500" w:lineRule="exact"/>
        <w:ind w:firstLine="1120" w:firstLineChars="350"/>
        <w:rPr>
          <w:rFonts w:ascii="仿宋_GB2312" w:eastAsia="仿宋_GB2312"/>
          <w:sz w:val="32"/>
          <w:szCs w:val="32"/>
        </w:rPr>
      </w:pPr>
      <w:r>
        <w:rPr>
          <w:rFonts w:hint="eastAsia" w:ascii="仿宋_GB2312" w:eastAsia="仿宋_GB2312"/>
          <w:sz w:val="32"/>
          <w:szCs w:val="32"/>
        </w:rPr>
        <w:t>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2022年追加了绩效工资、公务员晋级晋档调资、交通补贴、乡镇补贴等。年度可用财政拨款预算指标收入2913.808万元。</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4、年度预算收入决算情况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2022年决算收入2925.727万元，其中公共安全支出2719.664万元，社会保障和就业支出5.45万元，城乡社区支出43.5万元，农林水支出4万元，交通运输支出79万元，住房保障支出64.113万元，灾害防治及应急管理支出10万元。</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5、年度预算支出决算及结余情况。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2022年预算支出决算3111.647万元，其中公共安全支出2905.584万元，社会保障和就业支出5.45万元，城乡社区支出43.5万元，农林水支出4万元，交通运输支出79万元，住房保障支出64.113万元，灾害防治及应急管理支出10万元。</w:t>
      </w:r>
    </w:p>
    <w:p>
      <w:pPr>
        <w:spacing w:line="500" w:lineRule="exact"/>
        <w:rPr>
          <w:rFonts w:ascii="仿宋_GB2312" w:eastAsia="仿宋_GB2312"/>
          <w:sz w:val="32"/>
          <w:szCs w:val="32"/>
        </w:rPr>
      </w:pPr>
      <w:r>
        <w:rPr>
          <w:rFonts w:hint="eastAsia" w:ascii="仿宋_GB2312" w:eastAsia="仿宋_GB2312"/>
          <w:sz w:val="32"/>
          <w:szCs w:val="32"/>
        </w:rPr>
        <w:t>无结余。</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6、本年“三公经费”预算情况。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2022年我大队“三公经费”预算为90万元，其中公务用车运行费为90万元。</w:t>
      </w:r>
    </w:p>
    <w:p>
      <w:pPr>
        <w:spacing w:line="500" w:lineRule="exact"/>
        <w:ind w:firstLine="630"/>
        <w:rPr>
          <w:rFonts w:ascii="仿宋_GB2312" w:eastAsia="仿宋_GB2312"/>
          <w:sz w:val="32"/>
          <w:szCs w:val="32"/>
        </w:rPr>
      </w:pPr>
      <w:r>
        <w:rPr>
          <w:rFonts w:hint="eastAsia" w:ascii="仿宋_GB2312" w:eastAsia="仿宋_GB2312"/>
          <w:sz w:val="32"/>
          <w:szCs w:val="32"/>
        </w:rPr>
        <w:t>7、“三公经费”预算执行情况。</w:t>
      </w:r>
    </w:p>
    <w:p>
      <w:pPr>
        <w:widowControl/>
        <w:shd w:val="clear" w:color="auto" w:fill="FFFFFF"/>
        <w:spacing w:line="560" w:lineRule="exact"/>
        <w:ind w:firstLine="640"/>
        <w:jc w:val="left"/>
        <w:rPr>
          <w:rFonts w:ascii="仿宋_GB2312" w:eastAsia="仿宋_GB2312"/>
          <w:sz w:val="32"/>
          <w:szCs w:val="32"/>
        </w:rPr>
      </w:pPr>
      <w:r>
        <w:rPr>
          <w:rFonts w:hint="eastAsia" w:ascii="仿宋_GB2312" w:eastAsia="仿宋_GB2312"/>
          <w:sz w:val="32"/>
          <w:szCs w:val="32"/>
        </w:rPr>
        <w:t>2022年我大队“三公”经费支出253.491万元，其中：公务接待经费0万元、公务用车购置费159.184万元、公车运行及维护费用94.307万元。</w:t>
      </w:r>
    </w:p>
    <w:p>
      <w:pPr>
        <w:spacing w:line="500" w:lineRule="exact"/>
        <w:ind w:firstLine="630"/>
        <w:rPr>
          <w:rFonts w:ascii="仿宋_GB2312" w:eastAsia="仿宋_GB2312"/>
          <w:sz w:val="32"/>
          <w:szCs w:val="32"/>
        </w:rPr>
      </w:pPr>
      <w:r>
        <w:rPr>
          <w:rFonts w:hint="eastAsia" w:ascii="仿宋_GB2312" w:eastAsia="仿宋_GB2312"/>
          <w:sz w:val="32"/>
          <w:szCs w:val="32"/>
        </w:rPr>
        <w:t>8、与上年比较“三公经费”控制情况。</w:t>
      </w:r>
    </w:p>
    <w:p>
      <w:pPr>
        <w:spacing w:line="500" w:lineRule="exact"/>
        <w:ind w:firstLine="630"/>
        <w:rPr>
          <w:rFonts w:ascii="仿宋_GB2312" w:eastAsia="仿宋_GB2312"/>
          <w:sz w:val="32"/>
          <w:szCs w:val="32"/>
        </w:rPr>
      </w:pPr>
      <w:r>
        <w:rPr>
          <w:rFonts w:hint="eastAsia" w:ascii="仿宋_GB2312" w:eastAsia="仿宋_GB2312"/>
          <w:sz w:val="32"/>
          <w:szCs w:val="32"/>
        </w:rPr>
        <w:t>2022年“三公”经费实际支出总数比2021年有所上升，原因是2022年省厅下发需购置8台警车，10台警用摩托车，相应的运行维护费也有增加。</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（二）专项支出的管理和使用情况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1、专项资金（包括财政资金、自筹资金等）安排落实，总投入等情况分析。</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2022年项目支出总投入1545.129万元，已全部落实到位。</w:t>
      </w:r>
    </w:p>
    <w:p>
      <w:pPr>
        <w:spacing w:line="500" w:lineRule="exact"/>
        <w:ind w:firstLine="320" w:firstLineChars="100"/>
        <w:rPr>
          <w:rFonts w:ascii="仿宋_GB2312" w:eastAsia="仿宋_GB2312"/>
          <w:sz w:val="32"/>
          <w:szCs w:val="32"/>
        </w:rPr>
      </w:pPr>
      <w:r>
        <w:rPr>
          <w:rFonts w:hint="eastAsia" w:ascii="仿宋_GB2312" w:eastAsia="仿宋_GB2312"/>
          <w:sz w:val="32"/>
          <w:szCs w:val="32"/>
        </w:rPr>
        <w:t xml:space="preserve">  2、专项资金（主要指财政资金）实际使用情况分析</w:t>
      </w:r>
    </w:p>
    <w:p>
      <w:pPr>
        <w:spacing w:line="500" w:lineRule="exact"/>
        <w:ind w:firstLine="480" w:firstLineChars="150"/>
        <w:rPr>
          <w:rFonts w:ascii="仿宋_GB2312" w:eastAsia="仿宋_GB2312"/>
          <w:sz w:val="32"/>
          <w:szCs w:val="32"/>
        </w:rPr>
      </w:pPr>
      <w:r>
        <w:rPr>
          <w:rFonts w:hint="eastAsia" w:ascii="仿宋_GB2312" w:eastAsia="仿宋_GB2312"/>
          <w:sz w:val="32"/>
          <w:szCs w:val="32"/>
        </w:rPr>
        <w:t>2022年我队项目支出明细如下：公共安全支出1408.629万元、城乡社区支出43.5万元、农林水支出4万元、交通运输支出79万元、灾害防治及应急管理支出10万元。</w:t>
      </w:r>
    </w:p>
    <w:p>
      <w:pPr>
        <w:spacing w:line="500" w:lineRule="exact"/>
        <w:ind w:firstLine="645"/>
        <w:rPr>
          <w:rFonts w:ascii="仿宋_GB2312" w:eastAsia="仿宋_GB2312"/>
          <w:sz w:val="32"/>
          <w:szCs w:val="32"/>
        </w:rPr>
      </w:pPr>
      <w:r>
        <w:rPr>
          <w:rFonts w:hint="eastAsia" w:ascii="仿宋_GB2312" w:eastAsia="仿宋_GB2312"/>
          <w:sz w:val="32"/>
          <w:szCs w:val="32"/>
        </w:rPr>
        <w:t>3、专项资金管理情况分析，主要包括管理制度，办法的制定及执行情况。</w:t>
      </w:r>
    </w:p>
    <w:p>
      <w:pPr>
        <w:spacing w:line="500" w:lineRule="exact"/>
        <w:ind w:firstLine="645"/>
        <w:rPr>
          <w:rFonts w:ascii="仿宋_GB2312" w:eastAsia="仿宋_GB2312"/>
          <w:sz w:val="32"/>
          <w:szCs w:val="32"/>
        </w:rPr>
      </w:pPr>
      <w:r>
        <w:rPr>
          <w:rFonts w:hint="eastAsia" w:ascii="仿宋_GB2312" w:eastAsia="仿宋_GB2312"/>
          <w:sz w:val="32"/>
          <w:szCs w:val="32"/>
        </w:rPr>
        <w:t>我队专项资金对应相应的专项行动要求制定了管理制度并严格按照项目要求做到专款专用。</w:t>
      </w:r>
    </w:p>
    <w:p>
      <w:pPr>
        <w:spacing w:line="500" w:lineRule="exact"/>
        <w:ind w:firstLine="640" w:firstLineChars="200"/>
        <w:rPr>
          <w:rFonts w:ascii="黑体" w:eastAsia="黑体"/>
          <w:sz w:val="32"/>
          <w:szCs w:val="32"/>
        </w:rPr>
      </w:pPr>
      <w:r>
        <w:rPr>
          <w:rFonts w:hint="eastAsia" w:ascii="黑体" w:eastAsia="黑体"/>
          <w:sz w:val="32"/>
          <w:szCs w:val="32"/>
        </w:rPr>
        <w:t>三、部门专项组织实施情况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（一）专项组织情况分析，主要包括项目招投标、调整、竣工验收等情况。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2022年我队针对专项设立了专班专人负责，严格按照采购办法依法依序开展招投标。</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（二）专项资金管理情况分析，主要包括项目管理制度建设，日常检查监督管理等情况。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对于专项资金建立项目管理制度，成立领导牵头式专班，按期检查、不定期巡察，实时掌握项目进展并按要求资金落实到位。</w:t>
      </w:r>
    </w:p>
    <w:p>
      <w:pPr>
        <w:spacing w:line="500" w:lineRule="exact"/>
        <w:ind w:firstLine="640" w:firstLineChars="200"/>
        <w:rPr>
          <w:rFonts w:ascii="黑体" w:eastAsia="黑体"/>
          <w:sz w:val="32"/>
          <w:szCs w:val="32"/>
        </w:rPr>
      </w:pPr>
      <w:r>
        <w:rPr>
          <w:rFonts w:hint="eastAsia" w:ascii="黑体" w:eastAsia="黑体"/>
          <w:sz w:val="32"/>
          <w:szCs w:val="32"/>
        </w:rPr>
        <w:t>四、存在的问题</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（一）资金及财务管理方面的问题。</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1、管理方面的问题。项目设立依据是否充分；是否有资金管理办法，资金管理办法是否规范等。</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我大队建立了《机关财务管理制度》，并严格按照市财政局制定的公务接待、差旅费、培训费、会议费等相关管理办法，规范了公务支出管理。</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2、分配方面的问题。资金分配是否合理，是否突出重点，是否公平公正；有无散小差现象；资金分配和使用方向是否与资金管理办法相符等。</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我大队对资金合理分配，重点突出，公平公正，无散小差的现象，资金分配和使用方向严格按照资金管理办法执行。</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3、资金拨付方面的问题。拨付是否及时，程序是否合规等。</w:t>
      </w:r>
    </w:p>
    <w:p>
      <w:pPr>
        <w:spacing w:line="500" w:lineRule="exact"/>
        <w:rPr>
          <w:rFonts w:ascii="仿宋_GB2312" w:eastAsia="仿宋_GB2312"/>
          <w:sz w:val="32"/>
          <w:szCs w:val="32"/>
        </w:rPr>
      </w:pPr>
      <w:r>
        <w:rPr>
          <w:rFonts w:hint="eastAsia" w:ascii="仿宋_GB2312" w:eastAsia="仿宋_GB2312"/>
          <w:sz w:val="32"/>
          <w:szCs w:val="32"/>
        </w:rPr>
        <w:t xml:space="preserve">    我队资金拨付及时，程序合规。</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4、资金使用方面的问题。资金使用是否合规，有无挤占、截留、挪用、闲置等现象。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对项目资金的实施、资金投向及调度安排、固定资产购置及交付使用进行跟踪管理，确保项目资金专款专用。</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5、财务核算方面的问题。财务核算是否规范，资料是否齐全等。</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（二）项目管理方面的问题。</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1、项目管理制度是否建立，是否按制度执行。</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我队建立了项目管理制度，并严格按制度执行。</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2、子项目申报、评审、审批、实施、验收等是否规范。</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对子项目申报、评审、审批、实施、验收等环节严格按规定执行。</w:t>
      </w:r>
    </w:p>
    <w:p>
      <w:pPr>
        <w:spacing w:line="500" w:lineRule="exact"/>
        <w:ind w:firstLine="640" w:firstLineChars="200"/>
        <w:rPr>
          <w:rFonts w:ascii="黑体" w:eastAsia="黑体"/>
          <w:sz w:val="32"/>
          <w:szCs w:val="32"/>
        </w:rPr>
      </w:pPr>
      <w:r>
        <w:rPr>
          <w:rFonts w:hint="eastAsia" w:ascii="黑体" w:eastAsia="黑体"/>
          <w:sz w:val="32"/>
          <w:szCs w:val="32"/>
        </w:rPr>
        <w:t>五、改进措施及有关建议</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对存在的问题提出切实可行的改进措施和有关建议等。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p>
    <w:tbl>
      <w:tblPr>
        <w:tblStyle w:val="4"/>
        <w:tblW w:w="10590" w:type="dxa"/>
        <w:jc w:val="center"/>
        <w:tblLayout w:type="autofit"/>
        <w:tblCellMar>
          <w:top w:w="0" w:type="dxa"/>
          <w:left w:w="108" w:type="dxa"/>
          <w:bottom w:w="0" w:type="dxa"/>
          <w:right w:w="108" w:type="dxa"/>
        </w:tblCellMar>
      </w:tblPr>
      <w:tblGrid>
        <w:gridCol w:w="1135"/>
        <w:gridCol w:w="992"/>
        <w:gridCol w:w="1154"/>
        <w:gridCol w:w="1590"/>
        <w:gridCol w:w="1466"/>
        <w:gridCol w:w="1134"/>
        <w:gridCol w:w="828"/>
        <w:gridCol w:w="873"/>
        <w:gridCol w:w="1418"/>
      </w:tblGrid>
      <w:tr>
        <w:tblPrEx>
          <w:tblCellMar>
            <w:top w:w="0" w:type="dxa"/>
            <w:left w:w="108" w:type="dxa"/>
            <w:bottom w:w="0" w:type="dxa"/>
            <w:right w:w="108" w:type="dxa"/>
          </w:tblCellMar>
        </w:tblPrEx>
        <w:trPr>
          <w:trHeight w:val="690" w:hRule="atLeast"/>
          <w:jc w:val="center"/>
        </w:trPr>
        <w:tc>
          <w:tcPr>
            <w:tcW w:w="10590" w:type="dxa"/>
            <w:gridSpan w:val="9"/>
            <w:tcBorders>
              <w:top w:val="nil"/>
              <w:left w:val="nil"/>
              <w:bottom w:val="nil"/>
              <w:right w:val="nil"/>
            </w:tcBorders>
            <w:noWrap/>
            <w:vAlign w:val="center"/>
          </w:tcPr>
          <w:p>
            <w:pPr>
              <w:spacing w:line="500" w:lineRule="exact"/>
              <w:rPr>
                <w:rFonts w:eastAsia="方正小标宋_GBK"/>
                <w:color w:val="000000"/>
                <w:kern w:val="0"/>
                <w:sz w:val="36"/>
                <w:szCs w:val="36"/>
              </w:rPr>
            </w:pPr>
            <w:r>
              <w:rPr>
                <w:rFonts w:hint="eastAsia" w:ascii="仿宋_GB2312" w:eastAsia="仿宋_GB2312"/>
                <w:sz w:val="32"/>
                <w:szCs w:val="32"/>
              </w:rPr>
              <w:t>附件2</w:t>
            </w: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10590" w:type="dxa"/>
            <w:gridSpan w:val="9"/>
            <w:tcBorders>
              <w:top w:val="nil"/>
              <w:left w:val="nil"/>
              <w:bottom w:val="single" w:color="auto" w:sz="4" w:space="0"/>
              <w:right w:val="nil"/>
            </w:tcBorders>
            <w:noWrap/>
            <w:vAlign w:val="center"/>
          </w:tcPr>
          <w:p>
            <w:pPr>
              <w:widowControl/>
              <w:jc w:val="center"/>
              <w:rPr>
                <w:color w:val="000000"/>
                <w:kern w:val="0"/>
                <w:sz w:val="22"/>
              </w:rPr>
            </w:pPr>
            <w:r>
              <w:rPr>
                <w:color w:val="000000"/>
                <w:kern w:val="0"/>
                <w:sz w:val="22"/>
              </w:rPr>
              <w:t xml:space="preserve">（ </w:t>
            </w:r>
            <w:r>
              <w:rPr>
                <w:rFonts w:hint="eastAsia"/>
                <w:color w:val="000000"/>
                <w:kern w:val="0"/>
                <w:sz w:val="22"/>
              </w:rPr>
              <w:t>2022</w:t>
            </w:r>
            <w:r>
              <w:rPr>
                <w:color w:val="000000"/>
                <w:kern w:val="0"/>
                <w:sz w:val="22"/>
              </w:rPr>
              <w:t>年度）</w:t>
            </w:r>
          </w:p>
        </w:tc>
      </w:tr>
      <w:tr>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9455" w:type="dxa"/>
            <w:gridSpan w:val="8"/>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kern w:val="0"/>
                <w:szCs w:val="21"/>
              </w:rPr>
            </w:pPr>
            <w:r>
              <w:rPr>
                <w:rFonts w:hint="eastAsia" w:eastAsia="仿宋_GB2312"/>
                <w:color w:val="000000"/>
                <w:kern w:val="0"/>
                <w:szCs w:val="21"/>
              </w:rPr>
              <w:t>办案支出</w:t>
            </w: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5202"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沅江市公安局交通警察大队</w:t>
            </w:r>
          </w:p>
        </w:tc>
        <w:tc>
          <w:tcPr>
            <w:tcW w:w="1134" w:type="dxa"/>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车管所、秩序中队、事故中队、一、二、三中队</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46" w:type="dxa"/>
            <w:gridSpan w:val="2"/>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590"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年初预算数</w:t>
            </w:r>
          </w:p>
        </w:tc>
        <w:tc>
          <w:tcPr>
            <w:tcW w:w="1466"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全年预算数</w:t>
            </w:r>
          </w:p>
        </w:tc>
        <w:tc>
          <w:tcPr>
            <w:tcW w:w="1134" w:type="dxa"/>
            <w:tcBorders>
              <w:top w:val="nil"/>
              <w:left w:val="nil"/>
              <w:bottom w:val="single" w:color="auto" w:sz="4" w:space="0"/>
              <w:right w:val="single" w:color="auto" w:sz="4" w:space="0"/>
            </w:tcBorders>
          </w:tcPr>
          <w:p>
            <w:pPr>
              <w:rPr>
                <w:rFonts w:eastAsia="仿宋_GB2312"/>
                <w:szCs w:val="21"/>
              </w:rPr>
            </w:pPr>
            <w:r>
              <w:rPr>
                <w:rFonts w:eastAsia="仿宋_GB2312"/>
                <w:szCs w:val="21"/>
              </w:rPr>
              <w:t>全年执行数</w:t>
            </w:r>
          </w:p>
        </w:tc>
        <w:tc>
          <w:tcPr>
            <w:tcW w:w="828" w:type="dxa"/>
            <w:tcBorders>
              <w:top w:val="nil"/>
              <w:left w:val="nil"/>
              <w:bottom w:val="single" w:color="auto" w:sz="4" w:space="0"/>
              <w:right w:val="single" w:color="auto" w:sz="4" w:space="0"/>
            </w:tcBorders>
          </w:tcPr>
          <w:p>
            <w:pPr>
              <w:rPr>
                <w:rFonts w:eastAsia="仿宋_GB2312"/>
                <w:szCs w:val="21"/>
              </w:rPr>
            </w:pPr>
            <w:r>
              <w:rPr>
                <w:rFonts w:eastAsia="仿宋_GB2312"/>
                <w:szCs w:val="21"/>
              </w:rPr>
              <w:t>分值</w:t>
            </w:r>
          </w:p>
        </w:tc>
        <w:tc>
          <w:tcPr>
            <w:tcW w:w="873" w:type="dxa"/>
            <w:tcBorders>
              <w:top w:val="nil"/>
              <w:left w:val="nil"/>
              <w:bottom w:val="single" w:color="auto" w:sz="4" w:space="0"/>
              <w:right w:val="single" w:color="auto" w:sz="4" w:space="0"/>
            </w:tcBorders>
          </w:tcPr>
          <w:p>
            <w:pPr>
              <w:rPr>
                <w:rFonts w:eastAsia="仿宋_GB2312"/>
                <w:szCs w:val="21"/>
              </w:rPr>
            </w:pPr>
            <w:r>
              <w:rPr>
                <w:rFonts w:eastAsia="仿宋_GB2312"/>
                <w:szCs w:val="21"/>
              </w:rPr>
              <w:t>执行率</w:t>
            </w:r>
          </w:p>
        </w:tc>
        <w:tc>
          <w:tcPr>
            <w:tcW w:w="1418" w:type="dxa"/>
            <w:tcBorders>
              <w:top w:val="nil"/>
              <w:left w:val="nil"/>
              <w:bottom w:val="single" w:color="auto" w:sz="4" w:space="0"/>
              <w:right w:val="single" w:color="auto" w:sz="4" w:space="0"/>
            </w:tcBorders>
          </w:tcPr>
          <w:p>
            <w:pPr>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146" w:type="dxa"/>
            <w:gridSpan w:val="2"/>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590"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447.106</w:t>
            </w:r>
          </w:p>
        </w:tc>
        <w:tc>
          <w:tcPr>
            <w:tcW w:w="1466"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447.106</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447.106</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146" w:type="dxa"/>
            <w:gridSpan w:val="2"/>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590"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447.106</w:t>
            </w:r>
          </w:p>
        </w:tc>
        <w:tc>
          <w:tcPr>
            <w:tcW w:w="1466"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447.106</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447.106</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146" w:type="dxa"/>
            <w:gridSpan w:val="2"/>
            <w:tcBorders>
              <w:top w:val="nil"/>
              <w:left w:val="nil"/>
              <w:bottom w:val="single" w:color="auto" w:sz="4" w:space="0"/>
              <w:right w:val="single" w:color="auto" w:sz="4" w:space="0"/>
            </w:tcBorders>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590"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466"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146" w:type="dxa"/>
            <w:gridSpan w:val="2"/>
            <w:tcBorders>
              <w:top w:val="nil"/>
              <w:left w:val="nil"/>
              <w:bottom w:val="single" w:color="auto" w:sz="4" w:space="0"/>
              <w:right w:val="single" w:color="auto" w:sz="4" w:space="0"/>
            </w:tcBorders>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590"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466"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年度总</w:t>
            </w:r>
          </w:p>
          <w:p>
            <w:pPr>
              <w:widowControl/>
              <w:jc w:val="center"/>
              <w:rPr>
                <w:rFonts w:eastAsia="仿宋_GB2312"/>
                <w:color w:val="000000"/>
                <w:kern w:val="0"/>
                <w:szCs w:val="21"/>
              </w:rPr>
            </w:pPr>
            <w:r>
              <w:rPr>
                <w:rFonts w:eastAsia="仿宋_GB2312"/>
                <w:color w:val="000000"/>
                <w:kern w:val="0"/>
                <w:szCs w:val="21"/>
              </w:rPr>
              <w:t>体目标</w:t>
            </w:r>
          </w:p>
        </w:tc>
        <w:tc>
          <w:tcPr>
            <w:tcW w:w="5202" w:type="dxa"/>
            <w:gridSpan w:val="4"/>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715"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5202" w:type="dxa"/>
            <w:gridSpan w:val="4"/>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重点车辆、重点企业和驾驶人隐患源头治理，交通事故预防“减量控大”</w:t>
            </w:r>
          </w:p>
        </w:tc>
        <w:tc>
          <w:tcPr>
            <w:tcW w:w="4253"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定期检验排查重点车辆、重点企业和驾驶人隐患，有效做到交通事故预防。</w:t>
            </w:r>
          </w:p>
        </w:tc>
      </w:tr>
      <w:tr>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1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59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4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p>
          <w:p>
            <w:pPr>
              <w:widowControl/>
              <w:jc w:val="center"/>
              <w:rPr>
                <w:rFonts w:eastAsia="仿宋_GB2312"/>
                <w:color w:val="000000"/>
                <w:kern w:val="0"/>
                <w:szCs w:val="21"/>
              </w:rPr>
            </w:pPr>
            <w:r>
              <w:rPr>
                <w:rFonts w:eastAsia="仿宋_GB2312"/>
                <w:color w:val="000000"/>
                <w:kern w:val="0"/>
                <w:szCs w:val="21"/>
              </w:rPr>
              <w:t>(50分)</w:t>
            </w:r>
          </w:p>
        </w:tc>
        <w:tc>
          <w:tcPr>
            <w:tcW w:w="1154"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590"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酒驾醉驾人数</w:t>
            </w:r>
          </w:p>
        </w:tc>
        <w:tc>
          <w:tcPr>
            <w:tcW w:w="1466"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756</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984</w:t>
            </w: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54"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1590"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现场查处城市道路违法违规行为</w:t>
            </w:r>
          </w:p>
        </w:tc>
        <w:tc>
          <w:tcPr>
            <w:tcW w:w="1466"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157248</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141523</w:t>
            </w:r>
          </w:p>
        </w:tc>
        <w:tc>
          <w:tcPr>
            <w:tcW w:w="828" w:type="dxa"/>
            <w:tcBorders>
              <w:top w:val="single" w:color="auto" w:sz="4" w:space="0"/>
              <w:left w:val="nil"/>
              <w:bottom w:val="single" w:color="auto" w:sz="4" w:space="0"/>
              <w:right w:val="single" w:color="auto" w:sz="4" w:space="0"/>
            </w:tcBorders>
            <w:vAlign w:val="center"/>
          </w:tcPr>
          <w:p>
            <w:pPr>
              <w:widowControl/>
              <w:ind w:firstLine="105" w:firstLineChars="50"/>
              <w:jc w:val="left"/>
              <w:rPr>
                <w:rFonts w:eastAsia="仿宋_GB2312"/>
                <w:color w:val="000000"/>
                <w:kern w:val="0"/>
                <w:szCs w:val="21"/>
              </w:rPr>
            </w:pPr>
            <w:r>
              <w:rPr>
                <w:rFonts w:hint="eastAsia" w:eastAsia="仿宋_GB2312"/>
                <w:color w:val="000000"/>
                <w:kern w:val="0"/>
                <w:szCs w:val="21"/>
              </w:rPr>
              <w:t>10</w:t>
            </w:r>
          </w:p>
        </w:tc>
        <w:tc>
          <w:tcPr>
            <w:tcW w:w="873" w:type="dxa"/>
            <w:tcBorders>
              <w:top w:val="single" w:color="auto" w:sz="4" w:space="0"/>
              <w:left w:val="nil"/>
              <w:bottom w:val="single" w:color="auto" w:sz="4" w:space="0"/>
              <w:right w:val="single" w:color="auto" w:sz="4" w:space="0"/>
            </w:tcBorders>
            <w:vAlign w:val="center"/>
          </w:tcPr>
          <w:p>
            <w:pPr>
              <w:widowControl/>
              <w:ind w:firstLine="105" w:firstLineChars="50"/>
              <w:jc w:val="left"/>
              <w:rPr>
                <w:rFonts w:eastAsia="仿宋_GB2312"/>
                <w:color w:val="000000"/>
                <w:kern w:val="0"/>
                <w:szCs w:val="21"/>
              </w:rPr>
            </w:pPr>
            <w:r>
              <w:rPr>
                <w:rFonts w:hint="eastAsia" w:eastAsia="仿宋_GB2312"/>
                <w:color w:val="000000"/>
                <w:kern w:val="0"/>
                <w:szCs w:val="21"/>
              </w:rPr>
              <w:t>9</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中心工作量加大，后期加大城市道路执法力度</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54"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1590"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国省道5类计分违法</w:t>
            </w:r>
          </w:p>
        </w:tc>
        <w:tc>
          <w:tcPr>
            <w:tcW w:w="1466"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756</w:t>
            </w:r>
            <w:r>
              <w:rPr>
                <w:rFonts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805</w:t>
            </w: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873" w:type="dxa"/>
            <w:tcBorders>
              <w:top w:val="single" w:color="auto" w:sz="4" w:space="0"/>
              <w:left w:val="nil"/>
              <w:bottom w:val="single" w:color="auto" w:sz="4" w:space="0"/>
              <w:right w:val="single" w:color="auto" w:sz="4" w:space="0"/>
            </w:tcBorders>
            <w:vAlign w:val="center"/>
          </w:tcPr>
          <w:p>
            <w:pPr>
              <w:widowControl/>
              <w:ind w:firstLine="210" w:firstLineChars="100"/>
              <w:jc w:val="left"/>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54"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1590"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农村公路4类计分违法</w:t>
            </w:r>
          </w:p>
        </w:tc>
        <w:tc>
          <w:tcPr>
            <w:tcW w:w="1466"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456</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1820</w:t>
            </w:r>
          </w:p>
        </w:tc>
        <w:tc>
          <w:tcPr>
            <w:tcW w:w="828" w:type="dxa"/>
            <w:tcBorders>
              <w:top w:val="single" w:color="auto" w:sz="4" w:space="0"/>
              <w:left w:val="nil"/>
              <w:bottom w:val="single" w:color="auto" w:sz="4" w:space="0"/>
              <w:right w:val="single" w:color="auto" w:sz="4" w:space="0"/>
            </w:tcBorders>
            <w:vAlign w:val="center"/>
          </w:tcPr>
          <w:p>
            <w:pPr>
              <w:widowControl/>
              <w:ind w:firstLine="210" w:firstLineChars="100"/>
              <w:jc w:val="left"/>
              <w:rPr>
                <w:rFonts w:eastAsia="仿宋_GB2312"/>
                <w:color w:val="000000"/>
                <w:kern w:val="0"/>
                <w:szCs w:val="21"/>
              </w:rPr>
            </w:pPr>
            <w:r>
              <w:rPr>
                <w:rFonts w:hint="eastAsia" w:eastAsia="仿宋_GB2312"/>
                <w:color w:val="000000"/>
                <w:kern w:val="0"/>
                <w:szCs w:val="21"/>
              </w:rPr>
              <w:t>5</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54"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1590"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无较大以上交通事故</w:t>
            </w:r>
          </w:p>
        </w:tc>
        <w:tc>
          <w:tcPr>
            <w:tcW w:w="1466"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无</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无</w:t>
            </w:r>
          </w:p>
        </w:tc>
        <w:tc>
          <w:tcPr>
            <w:tcW w:w="828" w:type="dxa"/>
            <w:tcBorders>
              <w:top w:val="single" w:color="auto" w:sz="4" w:space="0"/>
              <w:left w:val="nil"/>
              <w:bottom w:val="single" w:color="auto" w:sz="4" w:space="0"/>
              <w:right w:val="single" w:color="auto" w:sz="4" w:space="0"/>
            </w:tcBorders>
            <w:vAlign w:val="center"/>
          </w:tcPr>
          <w:p>
            <w:pPr>
              <w:widowControl/>
              <w:ind w:firstLine="210" w:firstLineChars="100"/>
              <w:jc w:val="left"/>
              <w:rPr>
                <w:rFonts w:eastAsia="仿宋_GB2312"/>
                <w:color w:val="000000"/>
                <w:kern w:val="0"/>
                <w:szCs w:val="21"/>
              </w:rPr>
            </w:pPr>
            <w:r>
              <w:rPr>
                <w:rFonts w:hint="eastAsia" w:eastAsia="仿宋_GB2312"/>
                <w:color w:val="000000"/>
                <w:kern w:val="0"/>
                <w:szCs w:val="21"/>
              </w:rPr>
              <w:t>10</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54"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590"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按期检验报废车辆</w:t>
            </w:r>
          </w:p>
        </w:tc>
        <w:tc>
          <w:tcPr>
            <w:tcW w:w="1466"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不逾期</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未逾期</w:t>
            </w:r>
          </w:p>
        </w:tc>
        <w:tc>
          <w:tcPr>
            <w:tcW w:w="82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54"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590"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资金给付及时性</w:t>
            </w:r>
          </w:p>
        </w:tc>
        <w:tc>
          <w:tcPr>
            <w:tcW w:w="1466"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一年内</w:t>
            </w:r>
            <w:r>
              <w:rPr>
                <w:rFonts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一年内全部到位</w:t>
            </w: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54"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590"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成本性支出</w:t>
            </w:r>
          </w:p>
        </w:tc>
        <w:tc>
          <w:tcPr>
            <w:tcW w:w="1466"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不高于10%</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9.8%</w:t>
            </w:r>
          </w:p>
        </w:tc>
        <w:tc>
          <w:tcPr>
            <w:tcW w:w="82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restart"/>
            <w:tcBorders>
              <w:top w:val="single" w:color="auto" w:sz="4" w:space="0"/>
              <w:left w:val="nil"/>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left"/>
              <w:rPr>
                <w:rFonts w:eastAsia="仿宋_GB2312"/>
                <w:color w:val="000000"/>
                <w:kern w:val="0"/>
                <w:szCs w:val="21"/>
              </w:rPr>
            </w:pPr>
          </w:p>
          <w:p>
            <w:pPr>
              <w:widowControl/>
              <w:jc w:val="left"/>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3</w:t>
            </w:r>
            <w:r>
              <w:rPr>
                <w:rFonts w:eastAsia="仿宋_GB2312"/>
                <w:color w:val="000000"/>
                <w:kern w:val="0"/>
                <w:szCs w:val="21"/>
              </w:rPr>
              <w:t>0分）</w:t>
            </w:r>
          </w:p>
          <w:p>
            <w:pPr>
              <w:jc w:val="left"/>
              <w:rPr>
                <w:rFonts w:eastAsia="仿宋_GB2312"/>
                <w:color w:val="000000"/>
                <w:kern w:val="0"/>
                <w:szCs w:val="21"/>
              </w:rPr>
            </w:pPr>
            <w:r>
              <w:rPr>
                <w:rFonts w:eastAsia="仿宋_GB2312"/>
                <w:color w:val="000000"/>
                <w:kern w:val="0"/>
                <w:szCs w:val="21"/>
              </w:rPr>
              <w:t>　</w:t>
            </w:r>
          </w:p>
        </w:tc>
        <w:tc>
          <w:tcPr>
            <w:tcW w:w="1154"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590"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取得非税罚没收入</w:t>
            </w:r>
          </w:p>
        </w:tc>
        <w:tc>
          <w:tcPr>
            <w:tcW w:w="1466"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1500万</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1620万</w:t>
            </w:r>
          </w:p>
        </w:tc>
        <w:tc>
          <w:tcPr>
            <w:tcW w:w="82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left w:val="nil"/>
              <w:right w:val="single" w:color="auto" w:sz="4" w:space="0"/>
            </w:tcBorders>
            <w:vAlign w:val="center"/>
          </w:tcPr>
          <w:p>
            <w:pPr>
              <w:jc w:val="left"/>
              <w:rPr>
                <w:rFonts w:eastAsia="仿宋_GB2312"/>
                <w:color w:val="000000"/>
                <w:kern w:val="0"/>
                <w:szCs w:val="21"/>
              </w:rPr>
            </w:pPr>
          </w:p>
        </w:tc>
        <w:tc>
          <w:tcPr>
            <w:tcW w:w="1154"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1590"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无预算不开支、追加预算走程序</w:t>
            </w:r>
          </w:p>
        </w:tc>
        <w:tc>
          <w:tcPr>
            <w:tcW w:w="1466"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无预算不开支、追加预算走程序</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无预算不开支、追加预算走程序</w:t>
            </w:r>
          </w:p>
        </w:tc>
        <w:tc>
          <w:tcPr>
            <w:tcW w:w="82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left w:val="nil"/>
              <w:right w:val="single" w:color="auto" w:sz="4" w:space="0"/>
            </w:tcBorders>
            <w:vAlign w:val="center"/>
          </w:tcPr>
          <w:p>
            <w:pPr>
              <w:jc w:val="left"/>
              <w:rPr>
                <w:rFonts w:eastAsia="仿宋_GB2312"/>
                <w:color w:val="000000"/>
                <w:kern w:val="0"/>
                <w:szCs w:val="21"/>
              </w:rPr>
            </w:pPr>
          </w:p>
        </w:tc>
        <w:tc>
          <w:tcPr>
            <w:tcW w:w="1154"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590"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对社会开展道路交通安全宣传次数</w:t>
            </w:r>
          </w:p>
        </w:tc>
        <w:tc>
          <w:tcPr>
            <w:tcW w:w="1466" w:type="dxa"/>
            <w:tcBorders>
              <w:top w:val="single" w:color="auto" w:sz="4" w:space="0"/>
              <w:left w:val="nil"/>
              <w:bottom w:val="single" w:color="auto" w:sz="4" w:space="0"/>
              <w:right w:val="single" w:color="auto" w:sz="4" w:space="0"/>
            </w:tcBorders>
            <w:vAlign w:val="center"/>
          </w:tcPr>
          <w:p>
            <w:pPr>
              <w:widowControl/>
              <w:ind w:firstLine="210" w:firstLineChars="100"/>
              <w:jc w:val="left"/>
              <w:rPr>
                <w:rFonts w:eastAsia="仿宋_GB2312"/>
                <w:color w:val="000000"/>
                <w:kern w:val="0"/>
                <w:szCs w:val="21"/>
              </w:rPr>
            </w:pPr>
            <w:r>
              <w:rPr>
                <w:rFonts w:hint="eastAsia" w:eastAsia="仿宋_GB2312"/>
                <w:color w:val="000000"/>
                <w:kern w:val="0"/>
                <w:szCs w:val="21"/>
              </w:rPr>
              <w:t>12</w:t>
            </w:r>
          </w:p>
        </w:tc>
        <w:tc>
          <w:tcPr>
            <w:tcW w:w="1134" w:type="dxa"/>
            <w:tcBorders>
              <w:top w:val="single" w:color="auto" w:sz="4" w:space="0"/>
              <w:left w:val="nil"/>
              <w:bottom w:val="single" w:color="auto" w:sz="4" w:space="0"/>
              <w:right w:val="single" w:color="auto" w:sz="4" w:space="0"/>
            </w:tcBorders>
            <w:vAlign w:val="center"/>
          </w:tcPr>
          <w:p>
            <w:pPr>
              <w:widowControl/>
              <w:ind w:firstLine="210" w:firstLineChars="100"/>
              <w:jc w:val="left"/>
              <w:rPr>
                <w:rFonts w:eastAsia="仿宋_GB2312"/>
                <w:color w:val="000000"/>
                <w:kern w:val="0"/>
                <w:szCs w:val="21"/>
              </w:rPr>
            </w:pPr>
            <w:r>
              <w:rPr>
                <w:rFonts w:hint="eastAsia" w:eastAsia="仿宋_GB2312"/>
                <w:color w:val="000000"/>
                <w:kern w:val="0"/>
                <w:szCs w:val="21"/>
              </w:rPr>
              <w:t>30</w:t>
            </w:r>
          </w:p>
        </w:tc>
        <w:tc>
          <w:tcPr>
            <w:tcW w:w="82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left w:val="nil"/>
              <w:right w:val="single" w:color="auto" w:sz="4" w:space="0"/>
            </w:tcBorders>
            <w:vAlign w:val="center"/>
          </w:tcPr>
          <w:p>
            <w:pPr>
              <w:jc w:val="left"/>
              <w:rPr>
                <w:rFonts w:eastAsia="仿宋_GB2312"/>
                <w:color w:val="000000"/>
                <w:kern w:val="0"/>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隐患车辆源头管理，违法行为处罚，减少安全事故</w:t>
            </w:r>
          </w:p>
        </w:tc>
        <w:tc>
          <w:tcPr>
            <w:tcW w:w="1466"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长期</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105" w:firstLineChars="50"/>
              <w:jc w:val="left"/>
              <w:rPr>
                <w:rFonts w:eastAsia="仿宋_GB2312"/>
                <w:color w:val="000000"/>
                <w:kern w:val="0"/>
                <w:szCs w:val="21"/>
              </w:rPr>
            </w:pPr>
            <w:r>
              <w:rPr>
                <w:rFonts w:hint="eastAsia" w:eastAsia="仿宋_GB2312"/>
                <w:color w:val="000000"/>
                <w:kern w:val="0"/>
                <w:szCs w:val="21"/>
              </w:rPr>
              <w:t>长期</w:t>
            </w:r>
            <w:r>
              <w:rPr>
                <w:rFonts w:eastAsia="仿宋_GB2312"/>
                <w:color w:val="000000"/>
                <w:kern w:val="0"/>
                <w:szCs w:val="21"/>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widowControl/>
              <w:jc w:val="center"/>
              <w:rPr>
                <w:rFonts w:eastAsia="仿宋_GB2312"/>
                <w:color w:val="000000"/>
                <w:kern w:val="0"/>
                <w:szCs w:val="21"/>
              </w:rPr>
            </w:pPr>
          </w:p>
        </w:tc>
        <w:tc>
          <w:tcPr>
            <w:tcW w:w="992" w:type="dxa"/>
            <w:vMerge w:val="continue"/>
            <w:tcBorders>
              <w:left w:val="single" w:color="auto" w:sz="4" w:space="0"/>
              <w:right w:val="single" w:color="auto" w:sz="4" w:space="0"/>
            </w:tcBorders>
            <w:vAlign w:val="center"/>
          </w:tcPr>
          <w:p>
            <w:pPr>
              <w:widowControl/>
              <w:jc w:val="left"/>
              <w:rPr>
                <w:rFonts w:eastAsia="仿宋_GB2312"/>
                <w:color w:val="000000"/>
                <w:kern w:val="0"/>
                <w:szCs w:val="21"/>
              </w:rPr>
            </w:pPr>
          </w:p>
        </w:tc>
        <w:tc>
          <w:tcPr>
            <w:tcW w:w="1154" w:type="dxa"/>
            <w:tcBorders>
              <w:top w:val="single" w:color="auto" w:sz="4" w:space="0"/>
              <w:left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提高宣传力度，提高群众道路交通安全意识</w:t>
            </w:r>
          </w:p>
        </w:tc>
        <w:tc>
          <w:tcPr>
            <w:tcW w:w="1466"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长期</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长期</w:t>
            </w:r>
            <w:r>
              <w:rPr>
                <w:rFonts w:eastAsia="仿宋_GB2312"/>
                <w:color w:val="000000"/>
                <w:kern w:val="0"/>
                <w:szCs w:val="21"/>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992" w:type="dxa"/>
            <w:tcBorders>
              <w:top w:val="nil"/>
              <w:left w:val="nil"/>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154" w:type="dxa"/>
            <w:tcBorders>
              <w:top w:val="nil"/>
              <w:left w:val="nil"/>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590"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群众办证满意度</w:t>
            </w:r>
          </w:p>
        </w:tc>
        <w:tc>
          <w:tcPr>
            <w:tcW w:w="1466" w:type="dxa"/>
            <w:tcBorders>
              <w:top w:val="nil"/>
              <w:left w:val="nil"/>
              <w:bottom w:val="single" w:color="auto" w:sz="4" w:space="0"/>
              <w:right w:val="single" w:color="auto" w:sz="4" w:space="0"/>
            </w:tcBorders>
            <w:vAlign w:val="center"/>
          </w:tcPr>
          <w:p>
            <w:pPr>
              <w:widowControl/>
              <w:ind w:firstLine="315" w:firstLineChars="150"/>
              <w:jc w:val="left"/>
              <w:rPr>
                <w:rFonts w:eastAsia="仿宋_GB2312"/>
                <w:color w:val="000000"/>
                <w:kern w:val="0"/>
                <w:szCs w:val="21"/>
              </w:rPr>
            </w:pPr>
            <w:r>
              <w:rPr>
                <w:rFonts w:hint="eastAsia" w:eastAsia="仿宋_GB2312"/>
                <w:color w:val="000000"/>
                <w:kern w:val="0"/>
                <w:szCs w:val="21"/>
              </w:rPr>
              <w:t>10</w:t>
            </w:r>
            <w:r>
              <w:rPr>
                <w:rFonts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ind w:firstLine="315" w:firstLineChars="150"/>
              <w:jc w:val="left"/>
              <w:rPr>
                <w:rFonts w:eastAsia="仿宋_GB2312"/>
                <w:color w:val="000000"/>
                <w:kern w:val="0"/>
                <w:szCs w:val="21"/>
              </w:rPr>
            </w:pPr>
            <w:r>
              <w:rPr>
                <w:rFonts w:hint="eastAsia" w:eastAsia="仿宋_GB2312"/>
                <w:color w:val="000000"/>
                <w:kern w:val="0"/>
                <w:szCs w:val="21"/>
              </w:rPr>
              <w:t>10</w:t>
            </w:r>
            <w:r>
              <w:rPr>
                <w:rFonts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ind w:firstLine="105" w:firstLineChars="50"/>
              <w:jc w:val="left"/>
              <w:rPr>
                <w:rFonts w:eastAsia="仿宋_GB2312"/>
                <w:color w:val="000000"/>
                <w:kern w:val="0"/>
                <w:szCs w:val="21"/>
              </w:rPr>
            </w:pPr>
            <w:r>
              <w:rPr>
                <w:rFonts w:hint="eastAsia" w:eastAsia="仿宋_GB2312"/>
                <w:color w:val="000000"/>
                <w:kern w:val="0"/>
                <w:szCs w:val="21"/>
              </w:rPr>
              <w:t>10</w:t>
            </w:r>
            <w:r>
              <w:rPr>
                <w:rFonts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ind w:firstLine="210" w:firstLineChars="100"/>
              <w:jc w:val="left"/>
              <w:rPr>
                <w:rFonts w:eastAsia="仿宋_GB2312"/>
                <w:color w:val="000000"/>
                <w:kern w:val="0"/>
                <w:szCs w:val="21"/>
              </w:rPr>
            </w:pPr>
            <w:r>
              <w:rPr>
                <w:rFonts w:hint="eastAsia" w:eastAsia="仿宋_GB2312"/>
                <w:color w:val="000000"/>
                <w:kern w:val="0"/>
                <w:szCs w:val="21"/>
              </w:rPr>
              <w:t>10</w:t>
            </w:r>
            <w:r>
              <w:rPr>
                <w:rFonts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7471"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tcBorders>
              <w:top w:val="nil"/>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99</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bl>
    <w:p>
      <w:pPr>
        <w:spacing w:beforeLines="50"/>
        <w:jc w:val="left"/>
      </w:pPr>
      <w:r>
        <w:rPr>
          <w:rFonts w:eastAsia="仿宋_GB2312"/>
          <w:sz w:val="24"/>
        </w:rPr>
        <w:t>填表人：</w:t>
      </w:r>
      <w:r>
        <w:rPr>
          <w:rFonts w:hint="eastAsia" w:eastAsia="仿宋_GB2312"/>
          <w:sz w:val="24"/>
        </w:rPr>
        <w:t>李亦扬</w:t>
      </w:r>
      <w:r>
        <w:rPr>
          <w:rFonts w:eastAsia="仿宋_GB2312"/>
          <w:sz w:val="24"/>
        </w:rPr>
        <w:t xml:space="preserve">  填报日期</w:t>
      </w:r>
      <w:r>
        <w:rPr>
          <w:rFonts w:hint="eastAsia" w:eastAsia="仿宋_GB2312"/>
          <w:sz w:val="24"/>
        </w:rPr>
        <w:t>：2023.5.10</w:t>
      </w:r>
      <w:r>
        <w:rPr>
          <w:rFonts w:eastAsia="仿宋_GB2312"/>
          <w:sz w:val="24"/>
        </w:rPr>
        <w:t xml:space="preserve"> 联系电话：</w:t>
      </w:r>
      <w:r>
        <w:rPr>
          <w:rFonts w:hint="eastAsia" w:eastAsia="仿宋_GB2312"/>
          <w:sz w:val="24"/>
        </w:rPr>
        <w:t>15273703686</w:t>
      </w:r>
      <w:r>
        <w:rPr>
          <w:rFonts w:eastAsia="仿宋_GB2312"/>
          <w:sz w:val="24"/>
        </w:rPr>
        <w:t>单位负责人签字：</w: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409575</wp:posOffset>
                </wp:positionV>
                <wp:extent cx="5600700" cy="13335"/>
                <wp:effectExtent l="0" t="4445" r="0" b="7620"/>
                <wp:wrapNone/>
                <wp:docPr id="3" name="直接连接符 3"/>
                <wp:cNvGraphicFramePr/>
                <a:graphic xmlns:a="http://schemas.openxmlformats.org/drawingml/2006/main">
                  <a:graphicData uri="http://schemas.microsoft.com/office/word/2010/wordprocessingShape">
                    <wps:wsp>
                      <wps:cNvCnPr/>
                      <wps:spPr>
                        <a:xfrm>
                          <a:off x="0" y="0"/>
                          <a:ext cx="5600700" cy="133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2.25pt;height:1.05pt;width:441pt;z-index:251660288;mso-width-relative:page;mso-height-relative:page;" filled="f" stroked="t" coordsize="21600,21600" o:gfxdata="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tOgwzUAAAABgEAAA8AAAAAAAAAAQAgAAAAIgAAAGRycy9kb3ducmV2LnhtbFBLAQIUABQA&#10;AAAIAIdO4kDuyEQ99AEAAOoDAAAOAAAAAAAAAAEAIAAAACM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13335"/>
                <wp:effectExtent l="0" t="4445" r="0" b="7620"/>
                <wp:wrapNone/>
                <wp:docPr id="2" name="直接连接符 2"/>
                <wp:cNvGraphicFramePr/>
                <a:graphic xmlns:a="http://schemas.openxmlformats.org/drawingml/2006/main">
                  <a:graphicData uri="http://schemas.microsoft.com/office/word/2010/wordprocessingShape">
                    <wps:wsp>
                      <wps:cNvCnPr/>
                      <wps:spPr>
                        <a:xfrm>
                          <a:off x="0" y="0"/>
                          <a:ext cx="5600700" cy="133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1.05pt;width:441pt;z-index:251659264;mso-width-relative:page;mso-height-relative:page;" filled="f" stroked="t" coordsize="21600,21600" o:gfxdata="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GQxt0gAAAAMBAAAPAAAAAAAAAAEAIAAAACIAAABkcnMvZG93bnJldi54bWxQSwECFAAUAAAA&#10;CACHTuJAq2dn7/QBAADqAwAADgAAAAAAAAABACAAAAAhAQAAZHJzL2Uyb0RvYy54bWxQSwUGAAAA&#10;AAYABgBZAQAAhwUAAAAA&#10;">
                <v:fill on="f" focussize="0,0"/>
                <v:stroke color="#000000" joinstyle="round"/>
                <v:imagedata o:title=""/>
                <o:lock v:ext="edit" aspectratio="f"/>
              </v:line>
            </w:pict>
          </mc:Fallback>
        </mc:AlternateContent>
      </w:r>
    </w:p>
    <w:p/>
    <w:sectPr>
      <w:footerReference r:id="rId3" w:type="default"/>
      <w:pgSz w:w="11906" w:h="16838"/>
      <w:pgMar w:top="1701" w:right="1701" w:bottom="1701"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49"/>
    <w:rsid w:val="000175EE"/>
    <w:rsid w:val="00050E15"/>
    <w:rsid w:val="00075940"/>
    <w:rsid w:val="000947AC"/>
    <w:rsid w:val="000A173C"/>
    <w:rsid w:val="000E7FDE"/>
    <w:rsid w:val="001F7C1F"/>
    <w:rsid w:val="00243D3A"/>
    <w:rsid w:val="003C414D"/>
    <w:rsid w:val="004838FF"/>
    <w:rsid w:val="00500849"/>
    <w:rsid w:val="005213AC"/>
    <w:rsid w:val="00533BD9"/>
    <w:rsid w:val="005603BA"/>
    <w:rsid w:val="006A7FE6"/>
    <w:rsid w:val="007107C6"/>
    <w:rsid w:val="008C3917"/>
    <w:rsid w:val="0091211F"/>
    <w:rsid w:val="009615A0"/>
    <w:rsid w:val="00A06766"/>
    <w:rsid w:val="00A07442"/>
    <w:rsid w:val="00A55985"/>
    <w:rsid w:val="00AC6D5D"/>
    <w:rsid w:val="00B4588D"/>
    <w:rsid w:val="00B86523"/>
    <w:rsid w:val="00BB31AF"/>
    <w:rsid w:val="00BE5006"/>
    <w:rsid w:val="00CE60E5"/>
    <w:rsid w:val="00CF0C27"/>
    <w:rsid w:val="00D1714D"/>
    <w:rsid w:val="00DA711D"/>
    <w:rsid w:val="00DD5B5F"/>
    <w:rsid w:val="00E14265"/>
    <w:rsid w:val="00ED4106"/>
    <w:rsid w:val="00F36C15"/>
    <w:rsid w:val="00F634C5"/>
    <w:rsid w:val="00F95335"/>
    <w:rsid w:val="00FF357D"/>
    <w:rsid w:val="5CAA2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510</Words>
  <Characters>2913</Characters>
  <Lines>24</Lines>
  <Paragraphs>6</Paragraphs>
  <TotalTime>266</TotalTime>
  <ScaleCrop>false</ScaleCrop>
  <LinksUpToDate>false</LinksUpToDate>
  <CharactersWithSpaces>3417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2023-05-09T01:14:00Z</dcterms:created>
  <dc:creator>pc</dc:creator>
  <cp:lastModifiedBy>孙泽宇</cp:lastModifiedBy>
  <cp:lastPrinted>2023-05-10T08:33:00Z</cp:lastPrinted>
  <dcterms:modified xsi:type="dcterms:W3CDTF">2023-11-09T02:13:10Z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86EBE25A382E4402A211C6DD05CDD90B_13</vt:lpwstr>
  </property>
</Properties>
</file>