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/>
          <w:bCs/>
          <w:sz w:val="24"/>
        </w:rPr>
      </w:pPr>
      <w:r>
        <w:rPr>
          <w:rFonts w:ascii="Times New Roman" w:eastAsia="方正小标宋简体"/>
          <w:bCs/>
          <w:sz w:val="44"/>
          <w:szCs w:val="44"/>
        </w:rPr>
        <w:t>专项资金绩效目标申报表</w:t>
      </w:r>
      <w:r>
        <w:rPr>
          <w:rFonts w:ascii="Times New Roman" w:eastAsia="楷体_GB2312"/>
          <w:sz w:val="28"/>
          <w:szCs w:val="28"/>
        </w:rPr>
        <w:br w:type="textWrapping"/>
      </w:r>
      <w:r>
        <w:rPr>
          <w:rFonts w:ascii="Times New Roman" w:hAnsi="宋体"/>
          <w:sz w:val="24"/>
        </w:rPr>
        <w:t>（</w:t>
      </w:r>
      <w:r>
        <w:rPr>
          <w:rFonts w:ascii="Times New Roman"/>
          <w:sz w:val="24"/>
          <w:u w:val="single"/>
        </w:rPr>
        <w:t xml:space="preserve"> </w:t>
      </w:r>
      <w:r>
        <w:rPr>
          <w:rFonts w:hint="eastAsia" w:ascii="Times New Roman"/>
          <w:sz w:val="24"/>
          <w:u w:val="single"/>
        </w:rPr>
        <w:t>2023</w:t>
      </w:r>
      <w:r>
        <w:rPr>
          <w:rFonts w:hint="eastAsia" w:ascii="楷体_GB2312" w:hAnsi="宋体" w:eastAsia="楷体_GB2312"/>
          <w:sz w:val="24"/>
        </w:rPr>
        <w:t>年度</w:t>
      </w:r>
      <w:r>
        <w:rPr>
          <w:rFonts w:ascii="Times New Roman" w:hAnsi="宋体"/>
          <w:sz w:val="24"/>
        </w:rPr>
        <w:t>）</w:t>
      </w:r>
    </w:p>
    <w:p>
      <w:pPr>
        <w:rPr>
          <w:rFonts w:ascii="Times New Roman" w:eastAsia="宋体"/>
          <w:sz w:val="24"/>
        </w:rPr>
      </w:pPr>
      <w:r>
        <w:rPr>
          <w:rFonts w:ascii="Times New Roman" w:hAnsi="宋体" w:eastAsia="宋体"/>
          <w:sz w:val="24"/>
        </w:rPr>
        <w:t>填报单位（盖章）</w:t>
      </w:r>
      <w:r>
        <w:rPr>
          <w:rFonts w:ascii="Times New Roman" w:eastAsia="宋体"/>
          <w:sz w:val="24"/>
        </w:rPr>
        <w:t xml:space="preserve">                                           </w:t>
      </w:r>
      <w:r>
        <w:rPr>
          <w:rFonts w:ascii="Times New Roman" w:hAnsi="宋体" w:eastAsia="宋体"/>
          <w:sz w:val="24"/>
        </w:rPr>
        <w:t>金额单位：</w:t>
      </w:r>
      <w:r>
        <w:rPr>
          <w:rFonts w:hint="eastAsia" w:ascii="Times New Roman" w:hAnsi="宋体" w:eastAsia="宋体"/>
          <w:sz w:val="24"/>
        </w:rPr>
        <w:t>千</w:t>
      </w:r>
      <w:r>
        <w:rPr>
          <w:rFonts w:ascii="Times New Roman" w:hAnsi="宋体" w:eastAsia="宋体"/>
          <w:sz w:val="24"/>
        </w:rPr>
        <w:t>元</w:t>
      </w:r>
    </w:p>
    <w:tbl>
      <w:tblPr>
        <w:tblStyle w:val="4"/>
        <w:tblW w:w="98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52"/>
        <w:gridCol w:w="2326"/>
        <w:gridCol w:w="1600"/>
        <w:gridCol w:w="1280"/>
        <w:gridCol w:w="642"/>
        <w:gridCol w:w="805"/>
        <w:gridCol w:w="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专项名称</w:t>
            </w:r>
          </w:p>
        </w:tc>
        <w:tc>
          <w:tcPr>
            <w:tcW w:w="23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</w:rPr>
              <w:t>产业发展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专项属性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延续专项</w:t>
            </w:r>
            <w:r>
              <w:rPr>
                <w:rFonts w:ascii="Times New Roman" w:eastAsia="宋体"/>
                <w:sz w:val="24"/>
              </w:rPr>
              <w:t xml:space="preserve">□ </w:t>
            </w:r>
          </w:p>
          <w:p>
            <w:pPr>
              <w:spacing w:line="280" w:lineRule="exact"/>
              <w:ind w:firstLine="360" w:firstLineChars="15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hAnsi="宋体" w:eastAsia="宋体"/>
                <w:sz w:val="24"/>
              </w:rPr>
              <w:t>新增专项</w:t>
            </w:r>
            <w:r>
              <w:rPr>
                <w:rFonts w:ascii="Times New Roman" w:eastAsia="宋体"/>
                <w:sz w:val="24"/>
              </w:rPr>
              <w:t xml:space="preserve">□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部门名称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  <w:r>
              <w:rPr>
                <w:rFonts w:hint="eastAsia" w:ascii="Times New Roman" w:hAnsi="宋体" w:eastAsia="宋体"/>
                <w:sz w:val="24"/>
              </w:rPr>
              <w:t>湖南沅江高新技术产业园区管理委员会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资金总额</w:t>
            </w:r>
          </w:p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（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宋体" w:eastAsia="宋体"/>
                <w:sz w:val="24"/>
              </w:rPr>
              <w:t>千</w:t>
            </w:r>
            <w:r>
              <w:rPr>
                <w:rFonts w:ascii="Times New Roman" w:hAnsi="宋体" w:eastAsia="宋体"/>
                <w:sz w:val="24"/>
              </w:rPr>
              <w:t>元）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其中：上级财政资金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hint="eastAsia" w:ascii="Times New Roman" w:eastAsia="宋体"/>
                <w:sz w:val="24"/>
              </w:rPr>
              <w:t>0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hint="eastAsia" w:ascii="Times New Roman" w:hAnsi="宋体" w:eastAsia="宋体"/>
                <w:sz w:val="24"/>
              </w:rPr>
              <w:t>千</w:t>
            </w:r>
            <w:r>
              <w:rPr>
                <w:rFonts w:ascii="Times New Roman" w:hAnsi="宋体" w:eastAsia="宋体"/>
                <w:sz w:val="24"/>
              </w:rPr>
              <w:t>元，</w:t>
            </w:r>
            <w:r>
              <w:rPr>
                <w:rFonts w:hint="eastAsia" w:ascii="Times New Roman" w:hAnsi="宋体" w:eastAsia="宋体"/>
                <w:sz w:val="24"/>
              </w:rPr>
              <w:t>市</w:t>
            </w:r>
            <w:r>
              <w:rPr>
                <w:rFonts w:ascii="Times New Roman" w:hAnsi="宋体" w:eastAsia="宋体"/>
                <w:sz w:val="24"/>
              </w:rPr>
              <w:t>级财政资金</w:t>
            </w:r>
            <w:r>
              <w:rPr>
                <w:rFonts w:asci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eastAsia="宋体"/>
                <w:sz w:val="24"/>
              </w:rPr>
              <w:t>4000</w:t>
            </w:r>
            <w:r>
              <w:rPr>
                <w:rFonts w:hint="eastAsia" w:ascii="Times New Roman" w:hAnsi="宋体" w:eastAsia="宋体"/>
                <w:sz w:val="24"/>
              </w:rPr>
              <w:t>千</w:t>
            </w:r>
            <w:r>
              <w:rPr>
                <w:rFonts w:ascii="Times New Roman" w:hAnsi="宋体" w:eastAsia="宋体"/>
                <w:sz w:val="24"/>
              </w:rPr>
              <w:t>元，其他自筹资金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hint="eastAsia" w:ascii="Times New Roman" w:eastAsia="宋体"/>
                <w:sz w:val="24"/>
              </w:rPr>
              <w:t>0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hint="eastAsia" w:ascii="Times New Roman" w:hAnsi="宋体" w:eastAsia="宋体"/>
                <w:sz w:val="24"/>
              </w:rPr>
              <w:t>千</w:t>
            </w:r>
            <w:r>
              <w:rPr>
                <w:rFonts w:ascii="Times New Roman" w:hAnsi="宋体" w:eastAsia="宋体"/>
                <w:sz w:val="24"/>
              </w:rPr>
              <w:t>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ind w:left="-66" w:leftChars="-30" w:right="-66" w:rightChars="-3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部门相应职能职责概述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600" w:lineRule="exact"/>
              <w:ind w:firstLine="470" w:firstLineChars="196"/>
              <w:rPr>
                <w:rFonts w:ascii="Times New Roman" w:hAnsi="宋体" w:eastAsia="宋体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(一)负责贯彻执行党和国家关于高新区的方针政策、法律法规和决策部署。</w:t>
            </w:r>
          </w:p>
          <w:p>
            <w:pPr>
              <w:spacing w:line="600" w:lineRule="exact"/>
              <w:ind w:firstLine="470" w:firstLineChars="196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(二)负责研究拟订和组织实施沅江高新区重大发展战略、发展规划和工作计划。</w:t>
            </w:r>
          </w:p>
          <w:p>
            <w:pPr>
              <w:spacing w:line="600" w:lineRule="exact"/>
              <w:ind w:firstLine="470" w:firstLineChars="196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(三)按照沅江市国土空间总体规划和产业发展规划要求及相关权限，负责统筹建设发展空间布局。负责拟订沅江高新区发展规划、产业布局、产业政策、项目准入标准等重要事项并组织实施。</w:t>
            </w:r>
          </w:p>
          <w:p>
            <w:pPr>
              <w:spacing w:line="600" w:lineRule="exact"/>
              <w:ind w:firstLine="470" w:firstLineChars="196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(四)承办益阳市委、市政府和沅江市委、市政府交办的其他事项等。</w:t>
            </w:r>
          </w:p>
          <w:p>
            <w:pPr>
              <w:spacing w:line="360" w:lineRule="exact"/>
              <w:rPr>
                <w:rFonts w:ascii="Times New Roman" w:eastAsia="宋体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专项立项依据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ind w:firstLine="1800" w:firstLineChars="75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</w:rPr>
              <w:t>沅高新字【2019】33号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专项实施进度计划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专项实施内容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计划开始时间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计划完成时间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9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产业发展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</w:rPr>
              <w:t>2023.01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</w:rPr>
              <w:t>2023.12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专项长期绩效目标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ind w:firstLine="600" w:firstLineChars="25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推进园区中长期发展规划，促进园区高效可持续发展。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专项年度绩效目标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紧紧围绕船舶制造产业、装备制造产业、绿色食品产业、纺织服装产业、新型建材产业、新能源产业六大支柱产业,不断延链、补链、强链，进一步做大做强产业集群。充分发挥亩均效益导向，建成一批高质量项目,力争园区亩均效益增速达到15%。聚焦基础设施建设，着力提高园区承载能力。完善园区现有核心区、船舶产业片区、食品产业片区、赤塘工业小镇片区基础设施 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专项年度绩效指标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一级指标</w:t>
            </w:r>
          </w:p>
        </w:tc>
        <w:tc>
          <w:tcPr>
            <w:tcW w:w="23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二级指标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指标内容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指标值</w:t>
            </w:r>
          </w:p>
        </w:tc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产出指标</w:t>
            </w:r>
          </w:p>
        </w:tc>
        <w:tc>
          <w:tcPr>
            <w:tcW w:w="23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数量指标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  <w:lang w:eastAsia="zh-CN"/>
              </w:rPr>
              <w:t>产业发展规划及咨询服务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≥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eastAsia="宋体"/>
                <w:sz w:val="24"/>
                <w:lang w:val="en-US" w:eastAsia="zh-CN"/>
              </w:rPr>
              <w:t>次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质量指标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科学规划产业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≥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100%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时效指标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  <w:lang w:eastAsia="zh-CN"/>
              </w:rPr>
              <w:t>资金到位率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Arial" w:hAnsi="Arial" w:eastAsia="宋体" w:cs="Arial"/>
                <w:sz w:val="24"/>
              </w:rPr>
              <w:t>≥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100%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成本指标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各项工作经费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</w:rPr>
              <w:t>≤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400万元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效益指标</w:t>
            </w:r>
          </w:p>
        </w:tc>
        <w:tc>
          <w:tcPr>
            <w:tcW w:w="23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经济效益指标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促进工业产业发展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明显提升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社会效益指标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增加就业岗位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Arial" w:hAnsi="Arial" w:eastAsia="宋体" w:cs="Arial"/>
                <w:sz w:val="24"/>
              </w:rPr>
              <w:t>≥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80个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生态效益指标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</w:rPr>
              <w:t>　　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园区生态环境改善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有所提高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可持续影响指标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产业健康有序发展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eastAsia="zh-CN"/>
              </w:rPr>
              <w:t>有所提升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387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社会公众或服务</w:t>
            </w:r>
          </w:p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对象满意度指标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  <w:lang w:eastAsia="zh-CN"/>
              </w:rPr>
              <w:t>企业对园区服务满意度</w:t>
            </w:r>
            <w:r>
              <w:rPr>
                <w:rFonts w:ascii="Times New Roman" w:hAnsi="宋体" w:eastAsia="宋体"/>
                <w:sz w:val="24"/>
              </w:rPr>
              <w:t>　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Arial" w:hAnsi="Arial" w:eastAsia="宋体" w:cs="Arial"/>
                <w:sz w:val="24"/>
              </w:rPr>
              <w:t>≥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95%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专项实施保障措施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湖南沅江高新技术产业园区中长期发展规划。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财政部门审核意见</w:t>
            </w:r>
          </w:p>
        </w:tc>
        <w:tc>
          <w:tcPr>
            <w:tcW w:w="7585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</w:t>
            </w:r>
          </w:p>
          <w:p>
            <w:pPr>
              <w:spacing w:line="360" w:lineRule="exac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</w:t>
            </w:r>
            <w:r>
              <w:rPr>
                <w:rFonts w:ascii="Times New Roman" w:hAnsi="宋体" w:eastAsia="宋体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</w:t>
            </w:r>
            <w:r>
              <w:rPr>
                <w:rFonts w:ascii="Times New Roman" w:hAnsi="宋体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</w:rPr>
              <w:t>日</w:t>
            </w:r>
          </w:p>
        </w:tc>
      </w:tr>
    </w:tbl>
    <w:p>
      <w:pPr>
        <w:tabs>
          <w:tab w:val="left" w:pos="2730"/>
          <w:tab w:val="left" w:pos="6493"/>
        </w:tabs>
        <w:spacing w:line="400" w:lineRule="exact"/>
        <w:rPr>
          <w:rFonts w:ascii="Times New Roman" w:eastAsia="宋体"/>
          <w:sz w:val="24"/>
        </w:rPr>
      </w:pPr>
      <w:r>
        <w:rPr>
          <w:rFonts w:ascii="Times New Roman" w:hAnsi="宋体" w:eastAsia="宋体"/>
          <w:sz w:val="24"/>
        </w:rPr>
        <w:t>填报人：</w:t>
      </w:r>
      <w:r>
        <w:rPr>
          <w:rFonts w:hint="eastAsia" w:ascii="Times New Roman" w:hAnsi="宋体" w:eastAsia="宋体"/>
          <w:sz w:val="24"/>
        </w:rPr>
        <w:t>王佳</w:t>
      </w:r>
      <w:r>
        <w:rPr>
          <w:rFonts w:ascii="Times New Roman" w:eastAsia="宋体"/>
          <w:sz w:val="24"/>
        </w:rPr>
        <w:tab/>
      </w:r>
      <w:r>
        <w:rPr>
          <w:rFonts w:ascii="Times New Roman" w:hAnsi="宋体" w:eastAsia="宋体"/>
          <w:sz w:val="24"/>
        </w:rPr>
        <w:t>联系电话：</w:t>
      </w:r>
      <w:r>
        <w:rPr>
          <w:rFonts w:hint="eastAsia" w:ascii="Times New Roman" w:hAnsi="宋体" w:eastAsia="宋体"/>
          <w:sz w:val="24"/>
        </w:rPr>
        <w:t>18573738108</w:t>
      </w:r>
      <w:r>
        <w:rPr>
          <w:rFonts w:ascii="Times New Roman" w:eastAsia="宋体"/>
          <w:sz w:val="24"/>
        </w:rPr>
        <w:t xml:space="preserve">                  </w:t>
      </w:r>
      <w:r>
        <w:rPr>
          <w:rFonts w:ascii="Times New Roman" w:hAnsi="宋体" w:eastAsia="宋体"/>
          <w:sz w:val="24"/>
        </w:rPr>
        <w:t>填报日期：</w:t>
      </w:r>
      <w:r>
        <w:rPr>
          <w:rFonts w:hint="eastAsia" w:ascii="Times New Roman" w:hAnsi="宋体" w:eastAsia="宋体"/>
          <w:sz w:val="24"/>
        </w:rPr>
        <w:t>2023.06.27</w:t>
      </w:r>
    </w:p>
    <w:sectPr>
      <w:headerReference r:id="rId5" w:type="default"/>
      <w:footerReference r:id="rId6" w:type="default"/>
      <w:footerReference r:id="rId7" w:type="even"/>
      <w:pgSz w:w="11906" w:h="16838"/>
      <w:pgMar w:top="1985" w:right="1531" w:bottom="1701" w:left="1701" w:header="851" w:footer="1304" w:gutter="0"/>
      <w:cols w:space="720" w:num="1"/>
      <w:docGrid w:type="lines" w:linePitch="6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Style w:val="6"/>
        <w:rFonts w:ascii="Times New Roman"/>
        <w:sz w:val="28"/>
        <w:szCs w:val="28"/>
      </w:rPr>
    </w:pPr>
    <w:r>
      <w:rPr>
        <w:rStyle w:val="6"/>
        <w:rFonts w:hint="eastAsia" w:ascii="Times New Roman"/>
        <w:sz w:val="28"/>
        <w:szCs w:val="28"/>
      </w:rPr>
      <w:t xml:space="preserve">— </w:t>
    </w:r>
    <w:r>
      <w:rPr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1</w:t>
    </w:r>
    <w:r>
      <w:rPr>
        <w:rFonts w:ascii="Times New Roman"/>
        <w:sz w:val="28"/>
        <w:szCs w:val="28"/>
      </w:rPr>
      <w:fldChar w:fldCharType="end"/>
    </w:r>
    <w:r>
      <w:rPr>
        <w:rStyle w:val="6"/>
        <w:rFonts w:hint="eastAsia"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17</w: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mE1ZjU2YmE4ZDJiOTkzNTBiZjQ5MTZhODNmMjEifQ=="/>
  </w:docVars>
  <w:rsids>
    <w:rsidRoot w:val="00D31D50"/>
    <w:rsid w:val="00070BAD"/>
    <w:rsid w:val="001B71A5"/>
    <w:rsid w:val="002214D8"/>
    <w:rsid w:val="002C134F"/>
    <w:rsid w:val="0031040A"/>
    <w:rsid w:val="00323B43"/>
    <w:rsid w:val="003D37D8"/>
    <w:rsid w:val="00426133"/>
    <w:rsid w:val="004358AB"/>
    <w:rsid w:val="004B5EAD"/>
    <w:rsid w:val="00521788"/>
    <w:rsid w:val="00525ED2"/>
    <w:rsid w:val="0056170B"/>
    <w:rsid w:val="005C26EB"/>
    <w:rsid w:val="0080018F"/>
    <w:rsid w:val="00806640"/>
    <w:rsid w:val="008749C1"/>
    <w:rsid w:val="008B7726"/>
    <w:rsid w:val="009A6266"/>
    <w:rsid w:val="00A22CFC"/>
    <w:rsid w:val="00B10F3D"/>
    <w:rsid w:val="00B42E6B"/>
    <w:rsid w:val="00BF048E"/>
    <w:rsid w:val="00C1733B"/>
    <w:rsid w:val="00C31CF1"/>
    <w:rsid w:val="00C62986"/>
    <w:rsid w:val="00CB0B2E"/>
    <w:rsid w:val="00CD6389"/>
    <w:rsid w:val="00D15D4A"/>
    <w:rsid w:val="00D31D50"/>
    <w:rsid w:val="00D678D1"/>
    <w:rsid w:val="00D96819"/>
    <w:rsid w:val="00DA2051"/>
    <w:rsid w:val="00DD7649"/>
    <w:rsid w:val="00E253D1"/>
    <w:rsid w:val="00E45BDF"/>
    <w:rsid w:val="00E537DF"/>
    <w:rsid w:val="00E53F90"/>
    <w:rsid w:val="00F55411"/>
    <w:rsid w:val="00FE3EC6"/>
    <w:rsid w:val="6AFC254D"/>
    <w:rsid w:val="72F5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2E5622-051A-434D-92E7-DE5C07C20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918</Characters>
  <Lines>7</Lines>
  <Paragraphs>2</Paragraphs>
  <TotalTime>5</TotalTime>
  <ScaleCrop>false</ScaleCrop>
  <LinksUpToDate>false</LinksUpToDate>
  <CharactersWithSpaces>1077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橙子bear</cp:lastModifiedBy>
  <cp:lastPrinted>2023-07-28T00:34:00Z</cp:lastPrinted>
  <dcterms:modified xsi:type="dcterms:W3CDTF">2023-07-28T07:57:39Z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FB296D51AC344EE5949C206EE0F69CE4_13</vt:lpwstr>
  </property>
</Properties>
</file>