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eastAsia="楷体"/>
          <w:sz w:val="32"/>
          <w:szCs w:val="32"/>
          <w:lang w:val="en-US" w:eastAsia="zh-CN"/>
        </w:rPr>
      </w:pPr>
      <w:r>
        <w:rPr>
          <w:rFonts w:hint="eastAsia" w:eastAsia="楷体"/>
          <w:sz w:val="32"/>
          <w:szCs w:val="32"/>
          <w:lang w:eastAsia="zh-CN"/>
        </w:rPr>
        <w:t>附件</w:t>
      </w:r>
      <w:r>
        <w:rPr>
          <w:rFonts w:hint="eastAsia" w:eastAsia="楷体"/>
          <w:sz w:val="32"/>
          <w:szCs w:val="32"/>
          <w:lang w:val="en-US" w:eastAsia="zh-CN"/>
        </w:rPr>
        <w:t>2-1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2023年</w:t>
      </w:r>
      <w:r>
        <w:rPr>
          <w:rFonts w:eastAsia="方正小标宋简体"/>
          <w:sz w:val="44"/>
          <w:szCs w:val="44"/>
        </w:rPr>
        <w:t>项目支出绩效</w:t>
      </w:r>
      <w:r>
        <w:rPr>
          <w:rFonts w:hint="eastAsia" w:eastAsia="方正小标宋简体"/>
          <w:sz w:val="44"/>
          <w:szCs w:val="44"/>
          <w:lang w:eastAsia="zh-CN"/>
        </w:rPr>
        <w:t>目标表</w:t>
      </w:r>
    </w:p>
    <w:p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填报单位：沅江市洞庭湖博物馆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单位：万元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47"/>
        <w:gridCol w:w="1407"/>
        <w:gridCol w:w="3536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项目支出名称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文物修缮专项经费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预算部门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沅江市洞庭湖博物馆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tabs>
                <w:tab w:val="left" w:pos="273"/>
              </w:tabs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年度本级预算金额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该项目支出上级资金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项目支出实施期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实施期绩效目标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保证博物馆馆藏文物质量，及时修复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保证博物馆馆藏文物质量，及时修复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本年度绩效指标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产出指标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公共文化服务活动数量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收集品入藏数量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文化设施维修完成率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重点文物保护工程完成率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博物馆建设完成率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可移动文物保护完成率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文物考古调查、发掘完成率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防查、防火、防雷设施完好率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重点文物修复率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文物保护单位安全防护措施达标率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安全事故发生率下降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文物保护项目验收合格率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文物保护单位对公众开放率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重点文物参观人数增长率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spacing w:val="-4"/>
              </w:rPr>
              <w:t>文化产业从业人员继续教育培训完成率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任务完成时间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预算控制数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效益指标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收藏及保管物品完好率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社会效益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受益对象满意度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</w:tbl>
    <w:p/>
    <w:p>
      <w:pPr>
        <w:pStyle w:val="2"/>
      </w:pPr>
    </w:p>
    <w:p>
      <w:pPr>
        <w:spacing w:line="460" w:lineRule="exact"/>
        <w:rPr>
          <w:rFonts w:hint="default" w:eastAsia="楷体"/>
          <w:sz w:val="32"/>
          <w:szCs w:val="32"/>
          <w:lang w:val="en-US" w:eastAsia="zh-CN"/>
        </w:rPr>
      </w:pPr>
      <w:r>
        <w:rPr>
          <w:rFonts w:hint="eastAsia" w:eastAsia="楷体"/>
          <w:sz w:val="32"/>
          <w:szCs w:val="32"/>
          <w:lang w:eastAsia="zh-CN"/>
        </w:rPr>
        <w:t>附件</w:t>
      </w:r>
      <w:r>
        <w:rPr>
          <w:rFonts w:hint="eastAsia" w:eastAsia="楷体"/>
          <w:sz w:val="32"/>
          <w:szCs w:val="32"/>
          <w:lang w:val="en-US" w:eastAsia="zh-CN"/>
        </w:rPr>
        <w:t>2-1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2023年</w:t>
      </w:r>
      <w:r>
        <w:rPr>
          <w:rFonts w:eastAsia="方正小标宋简体"/>
          <w:sz w:val="44"/>
          <w:szCs w:val="44"/>
        </w:rPr>
        <w:t>项目支出绩效</w:t>
      </w:r>
      <w:r>
        <w:rPr>
          <w:rFonts w:hint="eastAsia" w:eastAsia="方正小标宋简体"/>
          <w:sz w:val="44"/>
          <w:szCs w:val="44"/>
          <w:lang w:eastAsia="zh-CN"/>
        </w:rPr>
        <w:t>目标表</w:t>
      </w:r>
    </w:p>
    <w:p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填报单位：沅江市洞庭湖博物馆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单位：万元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47"/>
        <w:gridCol w:w="1407"/>
        <w:gridCol w:w="3536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项目支出名称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免费开放专项经费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预算部门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沅江市洞庭湖博物馆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tabs>
                <w:tab w:val="left" w:pos="273"/>
              </w:tabs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年度本级预算金额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该项目支出上级资金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项目支出实施期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实施期绩效目标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对外免费开放陈列展览，为社会发展提供服务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对外免费开放陈列展览，为社会发展提供服务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本年度绩效指标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产出指标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公共文化服务活动数量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收集品入藏数量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文化设施维修完成率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重点文物保护工程完成率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博物馆建设完成率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可移动文物保护完成率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文物考古调查、发掘完成率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防查、防火、防雷设施完好率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重点文物修复率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文物保护单位安全防护措施达标率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安全事故发生率下降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文物保护项目验收合格率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文物保护单位对公众开放率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重点文物参观人数增长率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spacing w:val="-4"/>
              </w:rPr>
              <w:t>文化产业从业人员继续教育培训完成率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任务完成时间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预算控制数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47</w:t>
            </w: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效益指标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收藏及保管物品完好率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社会效益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受益对象满意度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</w:tbl>
    <w:p/>
    <w:p>
      <w:pPr>
        <w:pStyle w:val="2"/>
      </w:pPr>
    </w:p>
    <w:p>
      <w:pPr>
        <w:spacing w:line="460" w:lineRule="exact"/>
        <w:rPr>
          <w:rFonts w:hint="default" w:eastAsia="楷体"/>
          <w:sz w:val="32"/>
          <w:szCs w:val="32"/>
          <w:lang w:val="en-US" w:eastAsia="zh-CN"/>
        </w:rPr>
      </w:pPr>
      <w:r>
        <w:rPr>
          <w:rFonts w:hint="eastAsia" w:eastAsia="楷体"/>
          <w:sz w:val="32"/>
          <w:szCs w:val="32"/>
          <w:lang w:eastAsia="zh-CN"/>
        </w:rPr>
        <w:t>附件</w:t>
      </w:r>
      <w:r>
        <w:rPr>
          <w:rFonts w:hint="eastAsia" w:eastAsia="楷体"/>
          <w:sz w:val="32"/>
          <w:szCs w:val="32"/>
          <w:lang w:val="en-US" w:eastAsia="zh-CN"/>
        </w:rPr>
        <w:t>2-1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2023年</w:t>
      </w:r>
      <w:r>
        <w:rPr>
          <w:rFonts w:eastAsia="方正小标宋简体"/>
          <w:sz w:val="44"/>
          <w:szCs w:val="44"/>
        </w:rPr>
        <w:t>项目支出绩效</w:t>
      </w:r>
      <w:r>
        <w:rPr>
          <w:rFonts w:hint="eastAsia" w:eastAsia="方正小标宋简体"/>
          <w:sz w:val="44"/>
          <w:szCs w:val="44"/>
          <w:lang w:eastAsia="zh-CN"/>
        </w:rPr>
        <w:t>目标表</w:t>
      </w:r>
    </w:p>
    <w:p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填报单位：沅江市洞庭湖博物馆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单位：万元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47"/>
        <w:gridCol w:w="1407"/>
        <w:gridCol w:w="3536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项目支出名称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文物征集专项经费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预算部门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沅江市洞庭湖博物馆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tabs>
                <w:tab w:val="left" w:pos="273"/>
              </w:tabs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年度本级预算金额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该项目支出上级资金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项目支出实施期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实施期绩效目标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征集代表自然和人类文化遗产的实物，并进行分类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本年度绩效目标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征集代表自然和人类文化遗产的实物，并进行分类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本年度绩效指标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产出指标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公共文化服务活动数量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收集品入藏数量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color w:val="FF0000"/>
                <w:szCs w:val="21"/>
              </w:rPr>
              <w:t>XX</w:t>
            </w:r>
            <w:r>
              <w:rPr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文化设施维修完成率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公共文化设施完好率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重点文物保护工程完成率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博物馆建设完成率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可移动文物保护完成率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文物考古调查、发掘完成率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防查、防火、防雷设施完好率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重点文物修复率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文物保护单位安全防护措施达标率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安全事故发生率下降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文物保护项目验收合格率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文物保护单位对公众开放率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98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重点文物参观人数增长率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spacing w:val="-4"/>
              </w:rPr>
              <w:t>文化产业从业人员继续教育培训完成率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任务完成时间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预算控制数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效益指标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收藏及保管物品完好率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社会效益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受益对象满意度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95</w:t>
            </w:r>
            <w:r>
              <w:rPr>
                <w:szCs w:val="21"/>
              </w:rPr>
              <w:t>%</w:t>
            </w:r>
          </w:p>
        </w:tc>
      </w:tr>
    </w:tbl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DI1Mjc0ZWUwYTdhMzU3ZWU2NjdmY2U5NDY1NTAifQ=="/>
  </w:docVars>
  <w:rsids>
    <w:rsidRoot w:val="59927C90"/>
    <w:rsid w:val="1A5C7640"/>
    <w:rsid w:val="342855D2"/>
    <w:rsid w:val="59927C90"/>
    <w:rsid w:val="5E97274E"/>
    <w:rsid w:val="6A3804E7"/>
    <w:rsid w:val="6F5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483</Characters>
  <Lines>0</Lines>
  <Paragraphs>0</Paragraphs>
  <TotalTime>1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2023-06-08T00:46:00Z</dcterms:created>
  <dc:creator>洪荒S M I L E</dc:creator>
  <cp:lastModifiedBy>洪荒S M I L E</cp:lastModifiedBy>
  <dcterms:modified xsi:type="dcterms:W3CDTF">2023-06-09T02:45:52Z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C20F9CAAA0F94862BABD98BA914092C1_11</vt:lpwstr>
  </property>
</Properties>
</file>