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“企业一套表”联网直报专项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沅江市统计局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完成工业、投资、服务业、商贸、能源、房地产、建筑业一套表联网直报工作；完成“四上”企业申报业务指导、资料审核和汇总上报，维护“四上”企业名录库；提高调查数据质量，准确反映我市经济发展现状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1.按时完成“联网直报企业”单位月报、季报、年报任务；</w:t>
            </w:r>
          </w:p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2.完成年初企业入规目标任务;</w:t>
            </w:r>
          </w:p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3.加强“四上”企业等统计调查对象的统计业务指导，做好基本单位名录库更新维护工作。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企业一套表联网直报完成率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企业统计人员报表集中现场培训次数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≥10次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基本单位名录库更新维护率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对新增入规企业入库前核查率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＝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报表完成率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＝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统计数据上报是否及时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“企业一套表”联网直报专项工作成本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≤7万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是否为经济社会发展提供科学决策依据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数据服务是否到位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企业统计人员统计业务能力是否提高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调查结果反映现实情况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≥9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郭朝辉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13973693235   </w:t>
      </w:r>
      <w:r>
        <w:rPr>
          <w:rFonts w:hint="eastAsia" w:ascii="仿宋_GB2312" w:eastAsia="仿宋_GB2312"/>
          <w:kern w:val="0"/>
          <w:szCs w:val="21"/>
        </w:rPr>
        <w:t xml:space="preserve"> 填报日期：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/>
    <w:p>
      <w:pPr>
        <w:pStyle w:val="6"/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城乡住户调查专项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沅江市统计局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通过对1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个调查小区开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展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城乡一体化住户调查、全 面、准确、及时了解我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城乡居民收入、消费及其他生活状况，为研究制定城乡统筹政策和民生政策的需要提供基础数据。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目标 1：全面、准确、及时了解全国和各地区城乡居民收入、消费及其他生活状况，客观监测居民收入分配格局和不同收入层次居民的生活质量。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目标 2：生产并发布以居民收入和生活支出为核心的数据产品，满足研究制定城乡统筹政策和民生政策的需要。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目标 3：为国民经济核算和居民消费价格指数权重制定提供基础数据。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分析研究产品 (报告或出版物)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调查对象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110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户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主要数据产品达到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原始数据采集完成预定要求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数据产品是否按期生产并报告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分析研究是否按期完成并报告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记账户补贴及辅调员补贴成本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记账户、镇、村调查员流量费用成本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会议、培训、印刷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办公用品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、差旅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12万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主要数据产品未受到质疑，未产生不良影响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政策咨询建议是否对党政决策有积极影响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项目是否有益于提高统计能力建设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被调查住户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郭朝辉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13973693235   </w:t>
      </w:r>
      <w:r>
        <w:rPr>
          <w:rFonts w:hint="eastAsia" w:ascii="仿宋_GB2312" w:eastAsia="仿宋_GB2312"/>
          <w:kern w:val="0"/>
          <w:szCs w:val="21"/>
        </w:rPr>
        <w:t xml:space="preserve"> 填报日期：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/>
    <w:p>
      <w:pPr>
        <w:pStyle w:val="6"/>
      </w:pPr>
    </w:p>
    <w:p>
      <w:pPr>
        <w:pStyle w:val="6"/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粮食产量抽样调查专项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监测全年粮食生产产量，准确及时反映本市粮食生产情况，为国家宏观调控提供参考依据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按时完成了春播、夏播、秋冬播、春夏一类测量等粮食抽样调查数据。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粮食播种面积等生产结果分析报告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≥4篇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秋收谷物、秋收豆类、秋收薯类面积和产量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15个样本村每年实测一次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中、晚稻实测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夏收谷物、夏收豆类、夏收薯类面积和产量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15个样本村每年实测一次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早稻实测、杂粮非实测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调查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数据准确率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＝100%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数据产品、分析研究、政策咨询建议按期完成并报告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＝1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粮食抽样调查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项目支出是否符合国家或部门相关支出标准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主要数据产品未受到质疑，没有产生不良影响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有利于提高统计数据质量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有利于提高政府统计公信力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粮食数据得到党政、人大、政协机关认可度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粮食数据为社会提供服务，得到社会认可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郭朝辉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13973693235   </w:t>
      </w:r>
      <w:r>
        <w:rPr>
          <w:rFonts w:hint="eastAsia" w:ascii="仿宋_GB2312" w:eastAsia="仿宋_GB2312"/>
          <w:kern w:val="0"/>
          <w:szCs w:val="21"/>
        </w:rPr>
        <w:t xml:space="preserve"> 填报日期：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/>
    <w:p>
      <w:pPr>
        <w:pStyle w:val="6"/>
      </w:pPr>
    </w:p>
    <w:p>
      <w:pPr>
        <w:pStyle w:val="6"/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统计年报工作经费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沅江市统计局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通过组织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召开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各专业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年报会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议，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增强统计人员统计业务能力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提高统计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报表报送数据质量，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顺利完成统计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工作任务。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组织召开各专业2023年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年报会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议，保证按期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2023年统计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工作。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各专业统计年报会召开率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印刷年报资料数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统计年报数据报送率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统计年报数据准确率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各专业是否按时召开年报会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各专业是否按时上报年报数据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统计年报经费未超出预算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统计年报数据对政府决策的效果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统计人员业务水平是否显著提升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郭朝辉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13973693235   </w:t>
      </w:r>
      <w:r>
        <w:rPr>
          <w:rFonts w:hint="eastAsia" w:ascii="仿宋_GB2312" w:eastAsia="仿宋_GB2312"/>
          <w:kern w:val="0"/>
          <w:szCs w:val="21"/>
        </w:rPr>
        <w:t xml:space="preserve"> 填报日期：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统计年鉴印刷费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沅江市统计局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通过搜集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沅江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市经济和社会发展等各方面统计资料及部分主要指标历史资料，掌握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沅江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市经济和社会总体情况及各行业、各领域发展现状，形成统计年鉴，发放相关部门、镇街，为市委市政府及有关部门决策提供可靠依据，为社会公众提供准确、可靠的统计服务。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及时公开统计数据，为《统计年鉴》使用者提供精准、细致、便捷、及时的统计信息服务。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印刷数量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=200本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印刷质量达标率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印刷完成时限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印刷成本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2万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提高政府相关部门工作便利性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提升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eastAsia="zh-CN"/>
              </w:rPr>
              <w:t>统计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信息查询便捷度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统计年鉴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使用者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郭朝辉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13973693235   </w:t>
      </w:r>
      <w:r>
        <w:rPr>
          <w:rFonts w:hint="eastAsia" w:ascii="仿宋_GB2312" w:eastAsia="仿宋_GB2312"/>
          <w:kern w:val="0"/>
          <w:szCs w:val="21"/>
        </w:rPr>
        <w:t xml:space="preserve"> 填报日期：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/>
    <w:p>
      <w:pPr>
        <w:pStyle w:val="6"/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畜禽监测调查工作经费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确切掌握全市畜禽生产情况，为制定畜牧业发展政策提供科学依据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1.做好全市畜禽监测调查工作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2.做好畜禽摸底工作，摸清家底，搞好调查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3.核对生猪存栏数、出栏数、能繁母猪数等，为市委市政府制定畜牧业发展政策提供科学依据。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畜牧业归口管 理、畜禽监测调查户数量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全市15个样本村大型养殖户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畜牧业归口管 理、畜禽监测调查次数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每月一次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准确把握畜禽生产形势，调查数据有效率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＝100%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按时上报数据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及时完成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项目支出控制在预算内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4万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是否为政府决策提供依据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有利于提高政府统计公信力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调查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数据得到党政、人大、政协机关认可度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调查对象满意度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郭朝辉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13973693235   </w:t>
      </w:r>
      <w:r>
        <w:rPr>
          <w:rFonts w:hint="eastAsia" w:ascii="仿宋_GB2312" w:eastAsia="仿宋_GB2312"/>
          <w:kern w:val="0"/>
          <w:szCs w:val="21"/>
        </w:rPr>
        <w:t xml:space="preserve"> 填报日期：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月度调查失业率工作经费专项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沅江市统计局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开展劳动力调查，及时准确反映我市劳动力资源，摸清就业、失业状况，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为政府准确判断就业形势，制定和调整就业政策提供依据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完成全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市128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户调查户每月劳动力调查，确保统计数据质量；为政府准确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研判本年度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就业形势，加强就业服务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提供决策依据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劳动力调查每月样本量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=128户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生产数据产品（月报数据）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=12次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调查对象受访率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=100%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调查信息准确率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=100%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原始数据按期采集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分析研究按期完成并报告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劳动力调查工作经费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15万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调查数据对决策支撑度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反映城市就业和失业人口情况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是否充分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加大统计知晓力度，营造统计数据真实、准确氛围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长效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郭朝辉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13973693235   </w:t>
      </w:r>
      <w:r>
        <w:rPr>
          <w:rFonts w:hint="eastAsia" w:ascii="仿宋_GB2312" w:eastAsia="仿宋_GB2312"/>
          <w:kern w:val="0"/>
          <w:szCs w:val="21"/>
        </w:rPr>
        <w:t xml:space="preserve"> 填报日期：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pStyle w:val="6"/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5BA0F1-29ED-4BF6-93D1-D6DB2AE74D4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0211B8B-C7EE-4F5C-871E-8ED1D1D20A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3B68D9-D433-40B8-BAE3-1D6B855EF0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73413C-6F63-4FC5-B41C-4A659D8ACC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37AB778-B900-4481-A7DA-1C6B0FCBD7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ZGY4OTE1ODNhMDhlOWY4NjI4ZDljMjA5NTc0ZTgifQ=="/>
  </w:docVars>
  <w:rsids>
    <w:rsidRoot w:val="1CBD10DD"/>
    <w:rsid w:val="00162517"/>
    <w:rsid w:val="007E4CA5"/>
    <w:rsid w:val="025621A2"/>
    <w:rsid w:val="043645C2"/>
    <w:rsid w:val="044E0E32"/>
    <w:rsid w:val="053539D1"/>
    <w:rsid w:val="05AC22B4"/>
    <w:rsid w:val="06043E9E"/>
    <w:rsid w:val="09746495"/>
    <w:rsid w:val="09A80FE4"/>
    <w:rsid w:val="0A124F9F"/>
    <w:rsid w:val="0BDE0828"/>
    <w:rsid w:val="0C0E3CBE"/>
    <w:rsid w:val="0C670CE3"/>
    <w:rsid w:val="0CC11AB3"/>
    <w:rsid w:val="0D5D3E94"/>
    <w:rsid w:val="0DF1161F"/>
    <w:rsid w:val="0E883192"/>
    <w:rsid w:val="0E8C12B4"/>
    <w:rsid w:val="0ED10695"/>
    <w:rsid w:val="0F7C33ED"/>
    <w:rsid w:val="10046849"/>
    <w:rsid w:val="105416B0"/>
    <w:rsid w:val="11A36E95"/>
    <w:rsid w:val="11EF782B"/>
    <w:rsid w:val="12A849F6"/>
    <w:rsid w:val="132D4308"/>
    <w:rsid w:val="136B45C6"/>
    <w:rsid w:val="1459605D"/>
    <w:rsid w:val="14CA4036"/>
    <w:rsid w:val="151B6B0E"/>
    <w:rsid w:val="1520158F"/>
    <w:rsid w:val="159266A5"/>
    <w:rsid w:val="159E329B"/>
    <w:rsid w:val="1715758D"/>
    <w:rsid w:val="187324D5"/>
    <w:rsid w:val="18927FAF"/>
    <w:rsid w:val="19891E66"/>
    <w:rsid w:val="1BA97076"/>
    <w:rsid w:val="1BDD4B1E"/>
    <w:rsid w:val="1C1F4A39"/>
    <w:rsid w:val="1CBD10DD"/>
    <w:rsid w:val="1CC47A8B"/>
    <w:rsid w:val="1CF71C7A"/>
    <w:rsid w:val="1E1D1ADC"/>
    <w:rsid w:val="1E4179CF"/>
    <w:rsid w:val="1E8B0E48"/>
    <w:rsid w:val="1EAD1788"/>
    <w:rsid w:val="1F311FFF"/>
    <w:rsid w:val="1F491CF8"/>
    <w:rsid w:val="207277FE"/>
    <w:rsid w:val="22F51E39"/>
    <w:rsid w:val="233F6CB6"/>
    <w:rsid w:val="23526547"/>
    <w:rsid w:val="2372299A"/>
    <w:rsid w:val="244F61DB"/>
    <w:rsid w:val="24BB1774"/>
    <w:rsid w:val="24BB5C18"/>
    <w:rsid w:val="28167AFD"/>
    <w:rsid w:val="28433F5A"/>
    <w:rsid w:val="2A8F792B"/>
    <w:rsid w:val="2B415E1B"/>
    <w:rsid w:val="2BB356F7"/>
    <w:rsid w:val="2BD73B36"/>
    <w:rsid w:val="2CDE2DF0"/>
    <w:rsid w:val="2E1B0BAC"/>
    <w:rsid w:val="2FC265F7"/>
    <w:rsid w:val="2FD776B7"/>
    <w:rsid w:val="3059019D"/>
    <w:rsid w:val="305F7063"/>
    <w:rsid w:val="315C7E3B"/>
    <w:rsid w:val="32132BEF"/>
    <w:rsid w:val="327817B0"/>
    <w:rsid w:val="345117AD"/>
    <w:rsid w:val="34FC399A"/>
    <w:rsid w:val="36001C3A"/>
    <w:rsid w:val="367479D5"/>
    <w:rsid w:val="37296F16"/>
    <w:rsid w:val="38517C12"/>
    <w:rsid w:val="38F80FBA"/>
    <w:rsid w:val="3A254067"/>
    <w:rsid w:val="3BEB698B"/>
    <w:rsid w:val="3CA1108C"/>
    <w:rsid w:val="3D034E5A"/>
    <w:rsid w:val="3E5D0BC2"/>
    <w:rsid w:val="3F147FA7"/>
    <w:rsid w:val="3F3256FF"/>
    <w:rsid w:val="3F920DD1"/>
    <w:rsid w:val="40E0055E"/>
    <w:rsid w:val="4135614B"/>
    <w:rsid w:val="41AD11AC"/>
    <w:rsid w:val="431C567C"/>
    <w:rsid w:val="43336BD6"/>
    <w:rsid w:val="433A2F68"/>
    <w:rsid w:val="43965E48"/>
    <w:rsid w:val="44412933"/>
    <w:rsid w:val="446833F7"/>
    <w:rsid w:val="453521FE"/>
    <w:rsid w:val="46395467"/>
    <w:rsid w:val="46452166"/>
    <w:rsid w:val="464A437B"/>
    <w:rsid w:val="46614BD0"/>
    <w:rsid w:val="472E4721"/>
    <w:rsid w:val="473144C7"/>
    <w:rsid w:val="48F826E7"/>
    <w:rsid w:val="49804BB7"/>
    <w:rsid w:val="49E04680"/>
    <w:rsid w:val="4CEA2347"/>
    <w:rsid w:val="4DA1334D"/>
    <w:rsid w:val="4E6526E2"/>
    <w:rsid w:val="4EBD5F65"/>
    <w:rsid w:val="4F12306A"/>
    <w:rsid w:val="508F3931"/>
    <w:rsid w:val="52586320"/>
    <w:rsid w:val="52B92EE7"/>
    <w:rsid w:val="544607AB"/>
    <w:rsid w:val="54EB2A20"/>
    <w:rsid w:val="55464EF7"/>
    <w:rsid w:val="55D03A4B"/>
    <w:rsid w:val="56FE711B"/>
    <w:rsid w:val="57DF5A67"/>
    <w:rsid w:val="583F79EB"/>
    <w:rsid w:val="58842D3E"/>
    <w:rsid w:val="591F071D"/>
    <w:rsid w:val="594C6863"/>
    <w:rsid w:val="5B824511"/>
    <w:rsid w:val="5D552E40"/>
    <w:rsid w:val="5DA6050C"/>
    <w:rsid w:val="5E4D2736"/>
    <w:rsid w:val="5F8A7177"/>
    <w:rsid w:val="6007774F"/>
    <w:rsid w:val="60556361"/>
    <w:rsid w:val="613227E3"/>
    <w:rsid w:val="61882403"/>
    <w:rsid w:val="63AD330B"/>
    <w:rsid w:val="65460804"/>
    <w:rsid w:val="65D82071"/>
    <w:rsid w:val="665A00E6"/>
    <w:rsid w:val="672F50CE"/>
    <w:rsid w:val="68AE3AA7"/>
    <w:rsid w:val="69CB1C8E"/>
    <w:rsid w:val="69EE4DF9"/>
    <w:rsid w:val="69F22B9A"/>
    <w:rsid w:val="6A4747BA"/>
    <w:rsid w:val="6A7A2B04"/>
    <w:rsid w:val="6AD0590A"/>
    <w:rsid w:val="6B364C7D"/>
    <w:rsid w:val="6B96688C"/>
    <w:rsid w:val="6C9C6D62"/>
    <w:rsid w:val="6CD24E7A"/>
    <w:rsid w:val="6CD74FCF"/>
    <w:rsid w:val="6E777A87"/>
    <w:rsid w:val="6F9B4E77"/>
    <w:rsid w:val="6FE23626"/>
    <w:rsid w:val="6FE253D4"/>
    <w:rsid w:val="70521576"/>
    <w:rsid w:val="709255A1"/>
    <w:rsid w:val="70CD1F44"/>
    <w:rsid w:val="719E1AFD"/>
    <w:rsid w:val="71F14AF3"/>
    <w:rsid w:val="72326C83"/>
    <w:rsid w:val="73326672"/>
    <w:rsid w:val="73426189"/>
    <w:rsid w:val="75265D63"/>
    <w:rsid w:val="76360227"/>
    <w:rsid w:val="76767979"/>
    <w:rsid w:val="790A443D"/>
    <w:rsid w:val="79190D49"/>
    <w:rsid w:val="79491C7E"/>
    <w:rsid w:val="7A2B7342"/>
    <w:rsid w:val="7A590988"/>
    <w:rsid w:val="7B844BCE"/>
    <w:rsid w:val="7B9A6B62"/>
    <w:rsid w:val="7C246D74"/>
    <w:rsid w:val="7C442F72"/>
    <w:rsid w:val="7D604072"/>
    <w:rsid w:val="7DEC51A7"/>
    <w:rsid w:val="7E9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3494</Words>
  <Characters>3732</Characters>
  <Lines>0</Lines>
  <Paragraphs>0</Paragraphs>
  <TotalTime>38</TotalTime>
  <ScaleCrop>false</ScaleCrop>
  <LinksUpToDate>false</LinksUpToDate>
  <CharactersWithSpaces>4193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2023-06-12T08:41:00Z</dcterms:created>
  <dc:creator>冷子菁</dc:creator>
  <cp:lastModifiedBy>冷子菁</cp:lastModifiedBy>
  <cp:lastPrinted>2023-06-25T00:17:47Z</cp:lastPrinted>
  <dcterms:modified xsi:type="dcterms:W3CDTF">2023-06-25T01:44:28Z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7B598F3610F244BB829AE018E43F6A95_11</vt:lpwstr>
  </property>
</Properties>
</file>