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 xml:space="preserve"> </w:t>
      </w:r>
    </w:p>
    <w:p>
      <w:pPr>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中共沅江市委</w:t>
      </w:r>
      <w:r>
        <w:rPr>
          <w:rFonts w:hint="eastAsia" w:ascii="方正小标宋简体" w:hAnsi="方正小标宋简体" w:eastAsia="方正小标宋简体" w:cs="方正小标宋简体"/>
          <w:bCs/>
          <w:sz w:val="44"/>
          <w:szCs w:val="44"/>
          <w:lang w:eastAsia="zh-CN"/>
        </w:rPr>
        <w:t>组织部</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21</w:t>
      </w:r>
      <w:r>
        <w:rPr>
          <w:rFonts w:hint="eastAsia" w:ascii="方正小标宋简体" w:hAnsi="方正小标宋简体" w:eastAsia="方正小标宋简体" w:cs="方正小标宋简体"/>
          <w:bCs/>
          <w:sz w:val="44"/>
          <w:szCs w:val="44"/>
        </w:rPr>
        <w:t>年度</w:t>
      </w:r>
      <w:r>
        <w:rPr>
          <w:rFonts w:hint="eastAsia" w:ascii="方正小标宋简体" w:hAnsi="方正小标宋简体" w:eastAsia="方正小标宋简体" w:cs="方正小标宋简体"/>
          <w:bCs/>
          <w:sz w:val="44"/>
          <w:szCs w:val="44"/>
          <w:lang w:eastAsia="zh-CN"/>
        </w:rPr>
        <w:t>整体支出</w:t>
      </w:r>
      <w:r>
        <w:rPr>
          <w:rFonts w:hint="eastAsia" w:ascii="方正小标宋简体" w:hAnsi="方正小标宋简体" w:eastAsia="方正小标宋简体" w:cs="方正小标宋简体"/>
          <w:bCs/>
          <w:sz w:val="44"/>
          <w:szCs w:val="44"/>
        </w:rPr>
        <w:t>绩效评价报告</w:t>
      </w: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pStyle w:val="7"/>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spacing w:line="520" w:lineRule="exact"/>
        <w:ind w:firstLine="640"/>
        <w:rPr>
          <w:rFonts w:hint="eastAsia" w:ascii="仿宋" w:hAnsi="仿宋" w:eastAsia="仿宋"/>
          <w:sz w:val="32"/>
          <w:lang w:val="en-US"/>
        </w:rPr>
      </w:pPr>
      <w:r>
        <w:rPr>
          <w:rFonts w:hint="eastAsia" w:ascii="仿宋" w:hAnsi="仿宋" w:eastAsia="仿宋"/>
          <w:sz w:val="32"/>
          <w:lang w:val="en-US"/>
        </w:rPr>
        <w:t>20</w:t>
      </w:r>
      <w:r>
        <w:rPr>
          <w:rFonts w:hint="eastAsia" w:ascii="仿宋" w:hAnsi="仿宋" w:eastAsia="仿宋"/>
          <w:sz w:val="32"/>
          <w:lang w:val="en-US" w:eastAsia="zh-CN"/>
        </w:rPr>
        <w:t>21</w:t>
      </w:r>
      <w:r>
        <w:rPr>
          <w:rFonts w:hint="eastAsia" w:ascii="仿宋" w:hAnsi="仿宋" w:eastAsia="仿宋"/>
          <w:sz w:val="32"/>
          <w:lang w:val="en-US"/>
        </w:rPr>
        <w:t>年本单位由</w:t>
      </w:r>
      <w:r>
        <w:rPr>
          <w:rFonts w:hint="eastAsia" w:ascii="仿宋" w:hAnsi="仿宋" w:eastAsia="仿宋"/>
          <w:sz w:val="32"/>
          <w:lang w:val="en-US" w:eastAsia="zh-CN"/>
        </w:rPr>
        <w:t>市委组织部机关、党员教育中心</w:t>
      </w:r>
      <w:r>
        <w:rPr>
          <w:rFonts w:hint="eastAsia" w:ascii="仿宋" w:hAnsi="仿宋" w:eastAsia="仿宋"/>
          <w:sz w:val="32"/>
          <w:lang w:val="en-US"/>
        </w:rPr>
        <w:t>组成。</w:t>
      </w:r>
    </w:p>
    <w:p>
      <w:pPr>
        <w:spacing w:line="520" w:lineRule="exact"/>
        <w:ind w:firstLine="640"/>
        <w:rPr>
          <w:rFonts w:hint="eastAsia" w:ascii="仿宋" w:hAnsi="仿宋" w:eastAsia="仿宋"/>
          <w:sz w:val="32"/>
          <w:lang w:val="en-US"/>
        </w:rPr>
      </w:pPr>
      <w:r>
        <w:rPr>
          <w:rFonts w:hint="eastAsia" w:ascii="仿宋" w:hAnsi="仿宋" w:eastAsia="仿宋"/>
          <w:sz w:val="32"/>
          <w:lang w:val="en-US"/>
        </w:rPr>
        <w:t>20</w:t>
      </w:r>
      <w:r>
        <w:rPr>
          <w:rFonts w:hint="eastAsia" w:ascii="仿宋" w:hAnsi="仿宋" w:eastAsia="仿宋"/>
          <w:sz w:val="32"/>
          <w:lang w:val="en-US" w:eastAsia="zh-CN"/>
        </w:rPr>
        <w:t>21</w:t>
      </w:r>
      <w:r>
        <w:rPr>
          <w:rFonts w:hint="eastAsia" w:ascii="仿宋" w:hAnsi="仿宋" w:eastAsia="仿宋"/>
          <w:sz w:val="32"/>
          <w:lang w:val="en-US"/>
        </w:rPr>
        <w:t>年本单位年未实有人数</w:t>
      </w:r>
      <w:r>
        <w:rPr>
          <w:rFonts w:hint="eastAsia" w:ascii="仿宋" w:hAnsi="仿宋" w:eastAsia="仿宋"/>
          <w:sz w:val="28"/>
          <w:lang w:val="en-US" w:eastAsia="zh-CN"/>
        </w:rPr>
        <w:t>28</w:t>
      </w:r>
      <w:r>
        <w:rPr>
          <w:rFonts w:hint="eastAsia" w:ascii="仿宋" w:hAnsi="仿宋" w:eastAsia="仿宋"/>
          <w:sz w:val="32"/>
          <w:lang w:val="en-US"/>
        </w:rPr>
        <w:t>人。</w:t>
      </w:r>
    </w:p>
    <w:p>
      <w:pPr>
        <w:spacing w:line="520" w:lineRule="exact"/>
        <w:ind w:firstLine="640"/>
        <w:rPr>
          <w:rFonts w:hint="eastAsia" w:ascii="仿宋" w:hAnsi="仿宋" w:eastAsia="仿宋"/>
          <w:sz w:val="32"/>
          <w:lang w:val="en-US" w:eastAsia="zh-CN"/>
        </w:rPr>
      </w:pPr>
      <w:r>
        <w:rPr>
          <w:rFonts w:hint="eastAsia" w:ascii="仿宋" w:hAnsi="仿宋" w:eastAsia="仿宋"/>
          <w:sz w:val="32"/>
          <w:lang w:val="en-US"/>
        </w:rPr>
        <w:t>主要工作职责</w:t>
      </w:r>
      <w:r>
        <w:rPr>
          <w:rFonts w:hint="eastAsia" w:ascii="仿宋" w:hAnsi="仿宋" w:eastAsia="仿宋"/>
          <w:sz w:val="32"/>
          <w:lang w:val="en-US" w:eastAsia="zh-CN"/>
        </w:rPr>
        <w:t>：</w:t>
      </w:r>
    </w:p>
    <w:p>
      <w:pPr>
        <w:widowControl/>
        <w:shd w:val="clear" w:color="auto" w:fill="FFFFFF"/>
        <w:spacing w:line="560" w:lineRule="atLeast"/>
        <w:ind w:firstLine="643"/>
        <w:jc w:val="left"/>
        <w:rPr>
          <w:rFonts w:hint="eastAsia" w:ascii="仿宋_GB2312" w:hAnsi="仿宋_GB2312" w:eastAsia="仿宋_GB2312" w:cs="仿宋_GB2312"/>
          <w:color w:val="333333"/>
          <w:kern w:val="0"/>
          <w:sz w:val="32"/>
          <w:szCs w:val="32"/>
          <w:lang w:val="en-US" w:eastAsia="zh-CN"/>
        </w:rPr>
      </w:pPr>
      <w:r>
        <w:rPr>
          <w:rFonts w:ascii="仿宋" w:hAnsi="仿宋" w:eastAsia="仿宋" w:cs="仿宋"/>
          <w:i w:val="0"/>
          <w:iCs w:val="0"/>
          <w:caps w:val="0"/>
          <w:color w:val="000000"/>
          <w:spacing w:val="0"/>
          <w:sz w:val="32"/>
          <w:szCs w:val="32"/>
          <w:shd w:val="clear" w:fill="FFFFFF"/>
        </w:rPr>
        <w:t>（一）</w:t>
      </w:r>
      <w:r>
        <w:rPr>
          <w:rFonts w:hint="eastAsia" w:ascii="仿宋_GB2312" w:hAnsi="仿宋_GB2312" w:eastAsia="仿宋_GB2312" w:cs="仿宋_GB2312"/>
          <w:color w:val="333333"/>
          <w:kern w:val="0"/>
          <w:sz w:val="32"/>
          <w:szCs w:val="32"/>
          <w:lang w:val="en-US" w:eastAsia="zh-CN"/>
        </w:rPr>
        <w:t>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二</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负责干部队伍建设的规划和指导工作。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三</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执行公务员管理政策和法律法规。</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四</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五</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负责全市干部教育培训的宏观管理，制订干部教育工作规划，组织、协调全市副科级以上干部和部分中青年干部的培训。</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六</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负责全市干部信息、人事档案、党内统计、干部统计工作的宏观指导；负责全市组织系统信息网络建设。</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七</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负责全市人才工作和人才队伍建设的宏观管理和指导；研究拟订人才工作有关政策并组织实施；协调落实专项重点人才工作；协调实施高层次人才培养工程；按政策落实重点人才的相关待遇。</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八</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负责研究和指导党组织建设工作。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九</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研究指导党员队伍建设工作。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负责全市非公经济组织和社会组织党的建设工作。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十一</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承担市委党建工作领导小组日常工作，综合协调有关部门统筹推进基层党建工作，健全和落实基层党建工作责任制，负责基层党建述职评议；协调有关部门指导发展壮大村级（社区）集体经济。</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十二</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负责市直机关党的建设工作。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十三</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统筹协调全市绩效评估管理工作。</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十四</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负责组织工作的综合协调、督促检查和调查研究。</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十五</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负责管理全市机构编制。</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十六</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贯彻执行上级组织关于离退休干部工作的方针、政策、法规和决策部署；负责全市离退休干部工作的宏观管理和指导，开展调查研究。</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十七</w:t>
      </w:r>
      <w:r>
        <w:rPr>
          <w:rFonts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color w:val="333333"/>
          <w:kern w:val="0"/>
          <w:sz w:val="32"/>
          <w:szCs w:val="32"/>
          <w:lang w:val="en-US" w:eastAsia="zh-CN"/>
        </w:rPr>
        <w:t>完成市委和益阳市委组织部交办的其他工作。</w:t>
      </w:r>
    </w:p>
    <w:p>
      <w:pPr>
        <w:pStyle w:val="7"/>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二、部门整体支出管理及使用情况</w:t>
      </w:r>
    </w:p>
    <w:p>
      <w:pPr>
        <w:pStyle w:val="7"/>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（一）基本支出的管理和使用情况</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我部基本支出主要用于维持部机关基本运转，履行部门主要职责而发生的各项支出，经费主要开支包括基本工资、津贴补贴、奖金、伙食补助费、三险二金、办公费、电费、差旅费、工会经费、其他交通费用、对个人和家庭的补助等。</w:t>
      </w:r>
      <w:r>
        <w:rPr>
          <w:rFonts w:hint="eastAsia" w:ascii="方正仿宋简体" w:hAnsi="方正仿宋简体" w:eastAsia="方正仿宋简体" w:cs="方正仿宋简体"/>
          <w:sz w:val="32"/>
          <w:szCs w:val="32"/>
        </w:rPr>
        <w:t>基本支出的主要用途及资金的管理情况：20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lang w:eastAsia="zh-CN"/>
        </w:rPr>
        <w:t>基本支出</w:t>
      </w:r>
      <w:r>
        <w:rPr>
          <w:rFonts w:hint="eastAsia" w:ascii="方正仿宋简体" w:hAnsi="方正仿宋简体" w:eastAsia="方正仿宋简体" w:cs="方正仿宋简体"/>
          <w:sz w:val="32"/>
          <w:szCs w:val="32"/>
          <w:lang w:val="en-US" w:eastAsia="zh-CN"/>
        </w:rPr>
        <w:t>430.76万</w:t>
      </w:r>
      <w:r>
        <w:rPr>
          <w:rFonts w:hint="eastAsia" w:ascii="方正仿宋简体" w:hAnsi="方正仿宋简体" w:eastAsia="方正仿宋简体" w:cs="方正仿宋简体"/>
          <w:sz w:val="32"/>
          <w:szCs w:val="32"/>
          <w:lang w:eastAsia="zh-CN"/>
        </w:rPr>
        <w:t>元</w:t>
      </w:r>
      <w:r>
        <w:rPr>
          <w:rFonts w:hint="eastAsia" w:ascii="方正仿宋简体" w:hAnsi="方正仿宋简体" w:eastAsia="方正仿宋简体" w:cs="方正仿宋简体"/>
          <w:sz w:val="32"/>
          <w:szCs w:val="32"/>
        </w:rPr>
        <w:t>。其中:人员经费支出</w:t>
      </w:r>
      <w:r>
        <w:rPr>
          <w:rFonts w:hint="eastAsia" w:ascii="方正仿宋简体" w:hAnsi="方正仿宋简体" w:eastAsia="方正仿宋简体" w:cs="方正仿宋简体"/>
          <w:sz w:val="32"/>
          <w:szCs w:val="32"/>
          <w:lang w:val="en-US" w:eastAsia="zh-CN"/>
        </w:rPr>
        <w:t>368.05万元</w:t>
      </w:r>
      <w:r>
        <w:rPr>
          <w:rFonts w:hint="eastAsia" w:ascii="方正仿宋简体" w:hAnsi="方正仿宋简体" w:eastAsia="方正仿宋简体" w:cs="方正仿宋简体"/>
          <w:sz w:val="32"/>
          <w:szCs w:val="32"/>
        </w:rPr>
        <w:t>，主要用于基本工资、津贴补贴、绩效奖金、社会保障缴费、奖励金、住房公积金等支出；</w:t>
      </w:r>
      <w:r>
        <w:rPr>
          <w:rFonts w:hint="eastAsia" w:ascii="方正仿宋简体" w:hAnsi="方正仿宋简体" w:eastAsia="方正仿宋简体" w:cs="方正仿宋简体"/>
          <w:sz w:val="32"/>
          <w:szCs w:val="32"/>
          <w:lang w:val="en-US" w:eastAsia="zh-CN"/>
        </w:rPr>
        <w:t>公用经费支出62.71万元</w:t>
      </w:r>
      <w:r>
        <w:rPr>
          <w:rFonts w:hint="eastAsia" w:ascii="方正仿宋简体" w:hAnsi="方正仿宋简体" w:eastAsia="方正仿宋简体" w:cs="方正仿宋简体"/>
          <w:sz w:val="32"/>
          <w:szCs w:val="32"/>
        </w:rPr>
        <w:t>，主要用于办公费、印刷费、水电费、差旅费、会议费、培训费、公务接待费、工会经费等支出。</w:t>
      </w:r>
    </w:p>
    <w:p>
      <w:pPr>
        <w:spacing w:line="56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为了确保预算资金的规范使用，我部将财务管理规范纳入了部机关管理制度，严格把关审核，每一笔支出严格按照上级有关文件精神，不超标、不随意使用，规范了审批签字流程：经手人、证明人、分管领导、财务分管领导、纪检组联审章，层层递进严格审核。无计划安排不报账，不符合规定的发票、票据不报账，坚持勤俭节约，保证资金规范使用与安全。</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我部</w:t>
      </w:r>
      <w:r>
        <w:rPr>
          <w:rFonts w:hint="eastAsia" w:ascii="方正仿宋简体" w:hAnsi="方正仿宋简体" w:eastAsia="方正仿宋简体" w:cs="方正仿宋简体"/>
          <w:sz w:val="32"/>
          <w:szCs w:val="32"/>
          <w:lang w:val="en-US" w:eastAsia="zh-CN"/>
        </w:rPr>
        <w:t>2021</w:t>
      </w:r>
      <w:r>
        <w:rPr>
          <w:rFonts w:hint="eastAsia" w:ascii="方正仿宋简体" w:hAnsi="方正仿宋简体" w:eastAsia="方正仿宋简体" w:cs="方正仿宋简体"/>
          <w:sz w:val="32"/>
          <w:szCs w:val="32"/>
        </w:rPr>
        <w:t>年初总预算收支情</w:t>
      </w:r>
      <w:r>
        <w:rPr>
          <w:rFonts w:hint="eastAsia" w:ascii="方正仿宋简体" w:hAnsi="方正仿宋简体" w:eastAsia="方正仿宋简体" w:cs="方正仿宋简体"/>
          <w:sz w:val="32"/>
          <w:szCs w:val="32"/>
          <w:lang w:eastAsia="zh-CN"/>
        </w:rPr>
        <w:t>况：20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lang w:eastAsia="zh-CN"/>
        </w:rPr>
        <w:t>年度部门预算数为</w:t>
      </w:r>
      <w:r>
        <w:rPr>
          <w:rFonts w:hint="eastAsia" w:ascii="方正仿宋简体" w:hAnsi="方正仿宋简体" w:eastAsia="方正仿宋简体" w:cs="方正仿宋简体"/>
          <w:sz w:val="32"/>
          <w:szCs w:val="32"/>
          <w:lang w:val="en-US" w:eastAsia="zh-CN"/>
        </w:rPr>
        <w:t>791</w:t>
      </w:r>
      <w:r>
        <w:rPr>
          <w:rFonts w:hint="eastAsia" w:ascii="方正仿宋简体" w:hAnsi="方正仿宋简体" w:eastAsia="方正仿宋简体" w:cs="方正仿宋简体"/>
          <w:sz w:val="32"/>
          <w:szCs w:val="32"/>
          <w:lang w:eastAsia="zh-CN"/>
        </w:rPr>
        <w:t>万元，其中公共财政拨款</w:t>
      </w:r>
      <w:r>
        <w:rPr>
          <w:rFonts w:hint="eastAsia" w:ascii="方正仿宋简体" w:hAnsi="方正仿宋简体" w:eastAsia="方正仿宋简体" w:cs="方正仿宋简体"/>
          <w:sz w:val="32"/>
          <w:szCs w:val="32"/>
          <w:lang w:val="en-US" w:eastAsia="zh-CN"/>
        </w:rPr>
        <w:t>791万元，政府性基金拨款0元</w:t>
      </w:r>
      <w:r>
        <w:rPr>
          <w:rFonts w:hint="eastAsia" w:ascii="方正仿宋简体" w:hAnsi="方正仿宋简体" w:eastAsia="方正仿宋简体" w:cs="方正仿宋简体"/>
          <w:sz w:val="32"/>
          <w:szCs w:val="32"/>
          <w:lang w:eastAsia="zh-CN"/>
        </w:rPr>
        <w:t>。 其中，基本支出</w:t>
      </w:r>
      <w:r>
        <w:rPr>
          <w:rFonts w:hint="eastAsia" w:ascii="方正仿宋简体" w:hAnsi="方正仿宋简体" w:eastAsia="方正仿宋简体" w:cs="方正仿宋简体"/>
          <w:sz w:val="32"/>
          <w:szCs w:val="32"/>
          <w:lang w:val="en-US" w:eastAsia="zh-CN"/>
        </w:rPr>
        <w:t>321万</w:t>
      </w:r>
      <w:r>
        <w:rPr>
          <w:rFonts w:hint="eastAsia" w:ascii="方正仿宋简体" w:hAnsi="方正仿宋简体" w:eastAsia="方正仿宋简体" w:cs="方正仿宋简体"/>
          <w:sz w:val="32"/>
          <w:szCs w:val="32"/>
          <w:lang w:eastAsia="zh-CN"/>
        </w:rPr>
        <w:t>元，项目支出：</w:t>
      </w:r>
      <w:r>
        <w:rPr>
          <w:rFonts w:hint="eastAsia" w:ascii="方正仿宋简体" w:hAnsi="方正仿宋简体" w:eastAsia="方正仿宋简体" w:cs="方正仿宋简体"/>
          <w:sz w:val="32"/>
          <w:szCs w:val="32"/>
          <w:lang w:val="en-US" w:eastAsia="zh-CN"/>
        </w:rPr>
        <w:t>470</w:t>
      </w:r>
      <w:r>
        <w:rPr>
          <w:rFonts w:hint="eastAsia" w:ascii="方正仿宋简体" w:hAnsi="方正仿宋简体" w:eastAsia="方正仿宋简体" w:cs="方正仿宋简体"/>
          <w:sz w:val="32"/>
          <w:szCs w:val="32"/>
          <w:lang w:eastAsia="zh-CN"/>
        </w:rPr>
        <w:t>万元。基本支出中人员经费支出</w:t>
      </w:r>
      <w:r>
        <w:rPr>
          <w:rFonts w:hint="eastAsia" w:ascii="方正仿宋简体" w:hAnsi="方正仿宋简体" w:eastAsia="方正仿宋简体" w:cs="方正仿宋简体"/>
          <w:sz w:val="32"/>
          <w:szCs w:val="32"/>
          <w:lang w:val="en-US" w:eastAsia="zh-CN"/>
        </w:rPr>
        <w:t>287万元，公用经费支出34万元。收支基本平衡。</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2021年终决算拨款收入为861.17万元，其中一般公共预算财政拨款收入751.12万元，其他收入110.05万元。年初结转与结余120.65万元。2021年年终决算支出940.02万元，其中基本支出430.76万元，项目支出509.26万元，基本支出中人员经费368.05万元，日常公用经费支出62.71万元，年末结余结转41.8万元。</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2021年我部“三公”经费预算安排支出7万元，其中，公务接待费7.00万元，公务用车运行费0元，因公出国（境）费用0万元，实际“三公”经费支出4.19万元，其中：公务接待费4.19万元，公务用车运行费0万元，因公出国（境）费用0元。以上三项指标均未超出预算安排。</w:t>
      </w:r>
    </w:p>
    <w:p>
      <w:pPr>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我部2020年“三公”经费支出6.28万元，其中：公务接待费6.28万元，公务用车运行费0万元，因公出国（境）费用0元。2021年与上年相比，“三公经费”下降33.28%，主要原因：节约成本，控制开支。</w:t>
      </w:r>
    </w:p>
    <w:p>
      <w:pPr>
        <w:pStyle w:val="7"/>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（二）专项支出的管理和使用情况</w:t>
      </w:r>
    </w:p>
    <w:p>
      <w:pPr>
        <w:spacing w:line="560" w:lineRule="exact"/>
        <w:ind w:firstLine="640" w:firstLineChars="200"/>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2021年我部年初预算项目资金470万元，主要用于党建工作、公务员工作专项经费、绩效考核办工作经费、党代表调研经费、组工干部培训工作经费、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两新工委及指导员津贴、老干特需经费</w:t>
      </w:r>
      <w:r>
        <w:rPr>
          <w:rFonts w:hint="eastAsia" w:ascii="方正仿宋简体" w:hAnsi="方正仿宋简体" w:eastAsia="方正仿宋简体" w:cs="方正仿宋简体"/>
          <w:sz w:val="32"/>
          <w:szCs w:val="32"/>
          <w:lang w:val="en-US" w:eastAsia="zh-CN"/>
        </w:rPr>
        <w:t>等。年初预算安排仅限于沅江市级预算资金。2020年结转项目资金120.65万元。</w:t>
      </w:r>
    </w:p>
    <w:p>
      <w:pPr>
        <w:pStyle w:val="7"/>
        <w:spacing w:line="560" w:lineRule="exact"/>
        <w:ind w:firstLine="64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主要绩效</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方正仿宋简体" w:hAnsi="方正仿宋简体" w:eastAsia="方正仿宋简体" w:cs="方正仿宋简体"/>
          <w:sz w:val="32"/>
          <w:szCs w:val="32"/>
        </w:rPr>
        <w:t>根据市财政局要求，我</w:t>
      </w:r>
      <w:r>
        <w:rPr>
          <w:rFonts w:hint="eastAsia" w:ascii="方正仿宋简体" w:hAnsi="方正仿宋简体" w:eastAsia="方正仿宋简体" w:cs="方正仿宋简体"/>
          <w:sz w:val="32"/>
          <w:szCs w:val="32"/>
          <w:lang w:eastAsia="zh-CN"/>
        </w:rPr>
        <w:t>部</w:t>
      </w:r>
      <w:r>
        <w:rPr>
          <w:rFonts w:hint="eastAsia" w:ascii="方正仿宋简体" w:hAnsi="方正仿宋简体" w:eastAsia="方正仿宋简体" w:cs="方正仿宋简体"/>
          <w:sz w:val="32"/>
          <w:szCs w:val="32"/>
        </w:rPr>
        <w:t>以绩效评估为契机，认真对照评估指标，按照年度工作计划扎实推进20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年度预算绩效自评工作。总的来说，20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年我</w:t>
      </w:r>
      <w:r>
        <w:rPr>
          <w:rFonts w:hint="eastAsia" w:ascii="方正仿宋简体" w:hAnsi="方正仿宋简体" w:eastAsia="方正仿宋简体" w:cs="方正仿宋简体"/>
          <w:sz w:val="32"/>
          <w:szCs w:val="32"/>
          <w:lang w:eastAsia="zh-CN"/>
        </w:rPr>
        <w:t>部</w:t>
      </w:r>
      <w:r>
        <w:rPr>
          <w:rFonts w:hint="eastAsia" w:ascii="方正仿宋简体" w:hAnsi="方正仿宋简体" w:eastAsia="方正仿宋简体" w:cs="方正仿宋简体"/>
          <w:sz w:val="32"/>
          <w:szCs w:val="32"/>
        </w:rPr>
        <w:t>全体干部职工积极履职、扎实工作，较好完成了全年工作目标。</w:t>
      </w:r>
    </w:p>
    <w:p>
      <w:pPr>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严格落实项财务管理与审计制度，扎实开展机关财务内审工作。邀请市委巡察办指导，办公室全力配合，以本次财务审计为契机，及时查漏补缺、革除弊病、提升水平，严格执行部机关既定的各项财务管理制度及财务报销流程，有效杜绝各项违规操作事项，促进财务管理进一步走向制度化、规范化。</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（二）坚决打好打赢疫情防控阻击战</w:t>
      </w:r>
      <w:bookmarkStart w:id="0" w:name="_GoBack"/>
      <w:bookmarkEnd w:id="0"/>
      <w:r>
        <w:rPr>
          <w:rFonts w:hint="eastAsia" w:ascii="方正仿宋简体" w:hAnsi="方正仿宋简体" w:eastAsia="方正仿宋简体" w:cs="方正仿宋简体"/>
          <w:sz w:val="32"/>
          <w:szCs w:val="32"/>
          <w:lang w:val="en-US" w:eastAsia="zh-CN"/>
        </w:rPr>
        <w:t>。面对疫情，统一思想，凝聚“抗疫”合力，积极发动机关干部在做好自身防疫的同时积极投身疫情防控一线，带头落实疫情防控措施、带头服务基层群众、带头严守纪律要求。持续深入开展扫黑除恶专项斗争。对标对表益阳市委组织部《2021年扫黑除恶专项斗争工作要点》和《2021年沅江市扫黑除恶专项斗争工作要点》，紧扣扫黑除恶三年为期总目标，加强对纵深推进专项斗争的谋划部署。</w:t>
      </w:r>
    </w:p>
    <w:p>
      <w:pPr>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（三）组织全市各市直单位、镇场街道召开全市组织工作会议，学习贯彻上级精神，突出我市组织工作亮点，扎实推进组织工作的开展。</w:t>
      </w:r>
    </w:p>
    <w:p>
      <w:pPr>
        <w:numPr>
          <w:ilvl w:val="0"/>
          <w:numId w:val="1"/>
        </w:num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存在的主要问题</w:t>
      </w:r>
      <w:r>
        <w:rPr>
          <w:rFonts w:hint="eastAsia" w:ascii="方正黑体_GBK" w:hAnsi="方正黑体_GBK" w:eastAsia="方正黑体_GBK" w:cs="方正黑体_GBK"/>
          <w:sz w:val="32"/>
          <w:szCs w:val="32"/>
          <w:lang w:eastAsia="zh-CN"/>
        </w:rPr>
        <w:t>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52"/>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一是绩效目标设立不够明确、细化和量化。二是预算财务分析常态化，定期做好预算支出财务分析，做好部门整体支出预算评价工作。建议：按照预算规定的项目和用途严格财务审核，经费支出严格按预算规定项目的财务支出内容进行财务核算，在预算金额内严格控制费用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52"/>
        <w:jc w:val="left"/>
        <w:rPr>
          <w:rFonts w:hint="eastAsia" w:ascii="方正仿宋简体" w:hAnsi="方正仿宋简体" w:eastAsia="方正仿宋简体" w:cs="方正仿宋简体"/>
          <w:sz w:val="32"/>
          <w:szCs w:val="32"/>
          <w:lang w:eastAsia="zh-CN"/>
        </w:rPr>
      </w:pPr>
    </w:p>
    <w:p>
      <w:pPr>
        <w:spacing w:line="560" w:lineRule="exact"/>
        <w:rPr>
          <w:rFonts w:ascii="方正仿宋简体" w:hAnsi="方正仿宋简体" w:eastAsia="方正仿宋简体" w:cs="方正仿宋简体"/>
          <w:sz w:val="32"/>
          <w:szCs w:val="32"/>
        </w:rPr>
      </w:pPr>
    </w:p>
    <w:p>
      <w:pPr>
        <w:spacing w:line="56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中共沅江市委</w:t>
      </w:r>
      <w:r>
        <w:rPr>
          <w:rFonts w:hint="eastAsia" w:ascii="方正仿宋简体" w:hAnsi="方正仿宋简体" w:eastAsia="方正仿宋简体" w:cs="方正仿宋简体"/>
          <w:sz w:val="32"/>
          <w:szCs w:val="32"/>
          <w:lang w:eastAsia="zh-CN"/>
        </w:rPr>
        <w:t>组织部</w:t>
      </w:r>
    </w:p>
    <w:p>
      <w:pPr>
        <w:spacing w:line="560" w:lineRule="exact"/>
        <w:ind w:right="560"/>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29</w:t>
      </w:r>
      <w:r>
        <w:rPr>
          <w:rFonts w:hint="eastAsia" w:ascii="方正仿宋简体" w:hAnsi="方正仿宋简体" w:eastAsia="方正仿宋简体" w:cs="方正仿宋简体"/>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6063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E3668"/>
    <w:multiLevelType w:val="singleLevel"/>
    <w:tmpl w:val="948E366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1854E9"/>
    <w:rsid w:val="00021395"/>
    <w:rsid w:val="0003034E"/>
    <w:rsid w:val="00056E91"/>
    <w:rsid w:val="00057D91"/>
    <w:rsid w:val="000613DD"/>
    <w:rsid w:val="00076B96"/>
    <w:rsid w:val="000853E7"/>
    <w:rsid w:val="000928FA"/>
    <w:rsid w:val="000A6CF4"/>
    <w:rsid w:val="000B7C40"/>
    <w:rsid w:val="00115A0F"/>
    <w:rsid w:val="00163635"/>
    <w:rsid w:val="0016495E"/>
    <w:rsid w:val="001854E9"/>
    <w:rsid w:val="001F0ACC"/>
    <w:rsid w:val="00216356"/>
    <w:rsid w:val="00243A6D"/>
    <w:rsid w:val="00250F09"/>
    <w:rsid w:val="002945EF"/>
    <w:rsid w:val="002A4E50"/>
    <w:rsid w:val="002C67D8"/>
    <w:rsid w:val="00300477"/>
    <w:rsid w:val="003131CE"/>
    <w:rsid w:val="00321236"/>
    <w:rsid w:val="003255C4"/>
    <w:rsid w:val="0036441E"/>
    <w:rsid w:val="003660E0"/>
    <w:rsid w:val="003968C9"/>
    <w:rsid w:val="003D5CAD"/>
    <w:rsid w:val="003F5621"/>
    <w:rsid w:val="00435805"/>
    <w:rsid w:val="004430D7"/>
    <w:rsid w:val="004675EC"/>
    <w:rsid w:val="00477333"/>
    <w:rsid w:val="00504291"/>
    <w:rsid w:val="005375DB"/>
    <w:rsid w:val="005B58A4"/>
    <w:rsid w:val="006174C2"/>
    <w:rsid w:val="006522CA"/>
    <w:rsid w:val="006563BA"/>
    <w:rsid w:val="006710F0"/>
    <w:rsid w:val="00712195"/>
    <w:rsid w:val="007A3422"/>
    <w:rsid w:val="007A6433"/>
    <w:rsid w:val="007F58EA"/>
    <w:rsid w:val="008302B6"/>
    <w:rsid w:val="00860076"/>
    <w:rsid w:val="0092692D"/>
    <w:rsid w:val="00981C4B"/>
    <w:rsid w:val="009D0AE8"/>
    <w:rsid w:val="009E3F87"/>
    <w:rsid w:val="00A67970"/>
    <w:rsid w:val="00AC42B2"/>
    <w:rsid w:val="00BB14E1"/>
    <w:rsid w:val="00BC62DA"/>
    <w:rsid w:val="00C453D3"/>
    <w:rsid w:val="00C54B33"/>
    <w:rsid w:val="00C64ACA"/>
    <w:rsid w:val="00CA5F69"/>
    <w:rsid w:val="00CE5A43"/>
    <w:rsid w:val="00D3595B"/>
    <w:rsid w:val="00D62180"/>
    <w:rsid w:val="00D6317E"/>
    <w:rsid w:val="00D86F78"/>
    <w:rsid w:val="00DA3DCB"/>
    <w:rsid w:val="00DB3561"/>
    <w:rsid w:val="00DC6C3E"/>
    <w:rsid w:val="00DD7EB0"/>
    <w:rsid w:val="00DF72BB"/>
    <w:rsid w:val="00E136E8"/>
    <w:rsid w:val="00E15D70"/>
    <w:rsid w:val="00E25D61"/>
    <w:rsid w:val="00E32F25"/>
    <w:rsid w:val="00E57FEA"/>
    <w:rsid w:val="00E75C37"/>
    <w:rsid w:val="00E86F08"/>
    <w:rsid w:val="00EA1664"/>
    <w:rsid w:val="00F01EC2"/>
    <w:rsid w:val="00F06D9E"/>
    <w:rsid w:val="00F27070"/>
    <w:rsid w:val="00F40AB0"/>
    <w:rsid w:val="00FA6E3D"/>
    <w:rsid w:val="00FC5679"/>
    <w:rsid w:val="025306A7"/>
    <w:rsid w:val="02AE5B93"/>
    <w:rsid w:val="02C16E43"/>
    <w:rsid w:val="0304488D"/>
    <w:rsid w:val="04014DE4"/>
    <w:rsid w:val="076E24E0"/>
    <w:rsid w:val="0C2162D4"/>
    <w:rsid w:val="0C262209"/>
    <w:rsid w:val="0CDE60D7"/>
    <w:rsid w:val="0D3B0E74"/>
    <w:rsid w:val="0F855A53"/>
    <w:rsid w:val="118D6797"/>
    <w:rsid w:val="14187C29"/>
    <w:rsid w:val="14D01568"/>
    <w:rsid w:val="1663268E"/>
    <w:rsid w:val="17AD6683"/>
    <w:rsid w:val="184266BF"/>
    <w:rsid w:val="192F78EF"/>
    <w:rsid w:val="193C25BA"/>
    <w:rsid w:val="1A3B1BFA"/>
    <w:rsid w:val="1AAE1FC1"/>
    <w:rsid w:val="1AFB0E21"/>
    <w:rsid w:val="1B3F51C3"/>
    <w:rsid w:val="1B7956D6"/>
    <w:rsid w:val="1CC90BE5"/>
    <w:rsid w:val="1E001AA4"/>
    <w:rsid w:val="1EC45D38"/>
    <w:rsid w:val="1F5F6C5E"/>
    <w:rsid w:val="1F9012EC"/>
    <w:rsid w:val="22144DAB"/>
    <w:rsid w:val="224535FF"/>
    <w:rsid w:val="24DF0F65"/>
    <w:rsid w:val="25361AF0"/>
    <w:rsid w:val="2586649A"/>
    <w:rsid w:val="26BC4EB9"/>
    <w:rsid w:val="26D666E0"/>
    <w:rsid w:val="27237D91"/>
    <w:rsid w:val="2836506B"/>
    <w:rsid w:val="286A416D"/>
    <w:rsid w:val="2A1A3316"/>
    <w:rsid w:val="2CFD6F3E"/>
    <w:rsid w:val="2D2E4637"/>
    <w:rsid w:val="2FC00EA9"/>
    <w:rsid w:val="2FF64587"/>
    <w:rsid w:val="300B3C63"/>
    <w:rsid w:val="313F7DF3"/>
    <w:rsid w:val="32654145"/>
    <w:rsid w:val="32B40999"/>
    <w:rsid w:val="32F0645B"/>
    <w:rsid w:val="331949F8"/>
    <w:rsid w:val="33EF639F"/>
    <w:rsid w:val="34A50468"/>
    <w:rsid w:val="36FF633B"/>
    <w:rsid w:val="38A32E61"/>
    <w:rsid w:val="39112072"/>
    <w:rsid w:val="39894DBE"/>
    <w:rsid w:val="3A9C2FE6"/>
    <w:rsid w:val="3AAC6101"/>
    <w:rsid w:val="3AD55484"/>
    <w:rsid w:val="3C0B0DA0"/>
    <w:rsid w:val="3D2F445C"/>
    <w:rsid w:val="3D8203AC"/>
    <w:rsid w:val="3F1707C7"/>
    <w:rsid w:val="3F8259E3"/>
    <w:rsid w:val="3F982207"/>
    <w:rsid w:val="3FD242E4"/>
    <w:rsid w:val="404B67E3"/>
    <w:rsid w:val="40CF046C"/>
    <w:rsid w:val="41D1789C"/>
    <w:rsid w:val="443A7CD5"/>
    <w:rsid w:val="458D4106"/>
    <w:rsid w:val="45F62106"/>
    <w:rsid w:val="47B81AA9"/>
    <w:rsid w:val="47C204F1"/>
    <w:rsid w:val="49CA37BF"/>
    <w:rsid w:val="4BD90E54"/>
    <w:rsid w:val="4CC677C0"/>
    <w:rsid w:val="50144B9A"/>
    <w:rsid w:val="513631A4"/>
    <w:rsid w:val="51DC20D2"/>
    <w:rsid w:val="527473A1"/>
    <w:rsid w:val="52C20A5C"/>
    <w:rsid w:val="532029E9"/>
    <w:rsid w:val="56391066"/>
    <w:rsid w:val="563C659E"/>
    <w:rsid w:val="57905FB8"/>
    <w:rsid w:val="57E953E7"/>
    <w:rsid w:val="581A5757"/>
    <w:rsid w:val="59A108D8"/>
    <w:rsid w:val="5B1123D7"/>
    <w:rsid w:val="5BC604BE"/>
    <w:rsid w:val="5BE65438"/>
    <w:rsid w:val="5C495737"/>
    <w:rsid w:val="5C5F1F26"/>
    <w:rsid w:val="5CA630D0"/>
    <w:rsid w:val="5CD62FC1"/>
    <w:rsid w:val="5CE55C46"/>
    <w:rsid w:val="5DB5572E"/>
    <w:rsid w:val="5DBC4048"/>
    <w:rsid w:val="5DBF4AD8"/>
    <w:rsid w:val="5DC610BC"/>
    <w:rsid w:val="5FA70D1E"/>
    <w:rsid w:val="60902C71"/>
    <w:rsid w:val="6178493D"/>
    <w:rsid w:val="621C5E74"/>
    <w:rsid w:val="638369C4"/>
    <w:rsid w:val="63E14AEE"/>
    <w:rsid w:val="63F257A0"/>
    <w:rsid w:val="65CC7E3D"/>
    <w:rsid w:val="66C04485"/>
    <w:rsid w:val="66C849EA"/>
    <w:rsid w:val="68EF0F97"/>
    <w:rsid w:val="691254E3"/>
    <w:rsid w:val="699C1354"/>
    <w:rsid w:val="6ADF0526"/>
    <w:rsid w:val="6C9F5FD8"/>
    <w:rsid w:val="6D2E1114"/>
    <w:rsid w:val="6D7C5636"/>
    <w:rsid w:val="70703F5C"/>
    <w:rsid w:val="70F4573B"/>
    <w:rsid w:val="7126750E"/>
    <w:rsid w:val="712B1233"/>
    <w:rsid w:val="71646535"/>
    <w:rsid w:val="72705125"/>
    <w:rsid w:val="727F429C"/>
    <w:rsid w:val="74097730"/>
    <w:rsid w:val="74380318"/>
    <w:rsid w:val="744A3BFE"/>
    <w:rsid w:val="76EC02AF"/>
    <w:rsid w:val="7752364F"/>
    <w:rsid w:val="77FB18E9"/>
    <w:rsid w:val="794A5044"/>
    <w:rsid w:val="7984307B"/>
    <w:rsid w:val="7B2C5158"/>
    <w:rsid w:val="7BFB40A4"/>
    <w:rsid w:val="7F995F53"/>
    <w:rsid w:val="7FC67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4F39-D727-4B04-971A-0C65D59FC3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2540</Words>
  <Characters>2695</Characters>
  <Lines>12</Lines>
  <Paragraphs>3</Paragraphs>
  <TotalTime>31</TotalTime>
  <ScaleCrop>false</ScaleCrop>
  <LinksUpToDate>false</LinksUpToDate>
  <CharactersWithSpaces>2764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2020-08-14T08:59:00Z</dcterms:created>
  <dc:creator>Administrator</dc:creator>
  <cp:lastModifiedBy>tmy</cp:lastModifiedBy>
  <cp:lastPrinted>2019-07-19T09:44:00Z</cp:lastPrinted>
  <dcterms:modified xsi:type="dcterms:W3CDTF">2023-10-09T08:35:17Z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0F6562A22859434D8AA17CFDF82059FB</vt:lpwstr>
  </property>
</Properties>
</file>