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44"/>
          <w:szCs w:val="44"/>
        </w:rPr>
        <w:t>沅江市光荣院2021年度整体支出绩效评价 报告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一、部门概况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1、机构设置情况：沅江市光荣院是沅江市退役军人事务局下属的二级事业单位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2、人员情况：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根据编委核定，</w:t>
      </w:r>
      <w:r>
        <w:rPr>
          <w:rFonts w:hint="eastAsia" w:ascii="宋体" w:hAnsi="宋体" w:cs="宋体"/>
          <w:sz w:val="28"/>
          <w:szCs w:val="28"/>
        </w:rPr>
        <w:t>光荣院实有干职工7人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，退休人员5人。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主要工作职责是：光荣院是集中供养孤老优抚对象的社会福利机构，是对优抚对象实行特殊社会保障的优抚事业单位，是优抚工作的一个重要组成部分。光荣院坚持全心全意为孤老优抚对象服务，实行以养为主，民主办院的方针，依靠国家、社会、群众力量，保障孤老优抚对象的生活和合法权益，使他们安度晚年，为他们养老送终。</w:t>
      </w:r>
    </w:p>
    <w:p>
      <w:pPr>
        <w:widowControl/>
        <w:shd w:val="clear" w:color="auto" w:fill="FFFFFF"/>
        <w:spacing w:line="600" w:lineRule="atLeast"/>
        <w:ind w:firstLine="643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二、部门整体支出管理及使用情况</w:t>
      </w:r>
    </w:p>
    <w:p>
      <w:pPr>
        <w:widowControl/>
        <w:shd w:val="clear" w:color="auto" w:fill="FFFFFF"/>
        <w:spacing w:line="600" w:lineRule="atLeast"/>
        <w:ind w:firstLine="64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（一）基本支出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1、基本支出的主要用途范围及资金的管理情况。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基本支出主要用于在职及日常工作和年度重点工作的正常运行。严格遵守市财政局经费来源的分配、管理、使用原则。严格遵守支出审批制度。按照“量力而行、量入为出”的原则，合理安排经费。严格遵守财务内审和监督制度，建立了内部财务管理制度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firstLine="560" w:firstLineChars="200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年初总预算收支情况。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上年结余17.98万元，2021年总预算收入 89.74万元，基本支出 81.89 万元，其中，工资福利支出 62.89 万元，商品和服务支出 15.03 万元，对个人和家庭的补助 3.04 万元,资本性支出0.93万元；项目支出 25.83 万元。</w:t>
      </w:r>
    </w:p>
    <w:p>
      <w:pPr>
        <w:widowControl/>
        <w:numPr>
          <w:ilvl w:val="0"/>
          <w:numId w:val="1"/>
        </w:numPr>
        <w:shd w:val="clear" w:color="auto" w:fill="FFFFFF"/>
        <w:spacing w:line="600" w:lineRule="atLeast"/>
        <w:ind w:firstLine="560" w:firstLineChars="200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年度预算收入决算情况。</w:t>
      </w:r>
    </w:p>
    <w:p>
      <w:pPr>
        <w:ind w:firstLine="560" w:firstLineChars="200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2021年度收入合计89.74万元，其中：财政拨款收入86.56万元,其他收入3.18万元。</w:t>
      </w:r>
    </w:p>
    <w:p>
      <w:pPr>
        <w:widowControl/>
        <w:shd w:val="clear" w:color="auto" w:fill="FFFFFF"/>
        <w:spacing w:line="600" w:lineRule="atLeast"/>
        <w:ind w:firstLine="560" w:firstLineChars="200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4、与上年比较“三公经费”控制情况。</w:t>
      </w:r>
    </w:p>
    <w:p>
      <w:pPr>
        <w:widowControl/>
        <w:shd w:val="clear" w:color="auto" w:fill="FFFFFF"/>
        <w:spacing w:line="600" w:lineRule="atLeast"/>
        <w:ind w:firstLine="648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2021年“三公”经费决算为0万元，较2020年0万元，增加0万元。</w:t>
      </w:r>
    </w:p>
    <w:p>
      <w:pPr>
        <w:widowControl/>
        <w:shd w:val="clear" w:color="auto" w:fill="FFFFFF"/>
        <w:spacing w:line="600" w:lineRule="atLeast"/>
        <w:ind w:firstLine="64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（二）项目支出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2021年我单位项目支出25.83万元。其中商品和服务支出18.22万元，对个人和家庭的补助7.61万元。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三、部门年度重点工作计划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1、确保省绩效考核及市全面小康指标落实到位。涉及我院主要有关作风建设、财政预算绩效管理的项目指标。2、根据局工作报告目标任务分解，确保“三公”经费支出“零增长”。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四、部门整体支出绩效情况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1、认真执行了年初部门预算和财政政策要求。我院工作经费安排严格按照年初预算来执行，有效防止了超预算；认真学习财经法规，严格执行财经纪律，防止了违法违纪行为的发生；认真落实了有关资金要求。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2、保障了单位有效运转。严格按照厉行节约的要求，精打细算，规范单位事务管理工作，提高服务质量，降低运行成本，合理配置，提高保障能力。</w:t>
      </w:r>
    </w:p>
    <w:p>
      <w:pPr>
        <w:adjustRightInd w:val="0"/>
        <w:spacing w:line="20" w:lineRule="atLeast"/>
        <w:ind w:firstLine="560" w:firstLineChars="200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</w:rPr>
        <w:t>3、</w:t>
      </w:r>
      <w:r>
        <w:rPr>
          <w:rFonts w:hint="eastAsia" w:ascii="宋体" w:hAnsi="宋体" w:cs="宋体"/>
          <w:sz w:val="28"/>
          <w:szCs w:val="28"/>
          <w:lang w:val="zh-CN"/>
        </w:rPr>
        <w:t>搞好老人服务工作。</w:t>
      </w:r>
      <w:r>
        <w:rPr>
          <w:rFonts w:hint="eastAsia" w:ascii="宋体" w:hAnsi="宋体" w:cs="宋体"/>
          <w:sz w:val="28"/>
          <w:szCs w:val="28"/>
        </w:rPr>
        <w:t>我院通过网络等平台，积极了解国内先进光荣院的建设经验，管理经验，结合我院实际情况制定并完善了干职工的监督机制和评议机制。对工作人员的工作进行重新分工，明确各自责任，确定服务内容与服务质量。</w:t>
      </w:r>
      <w:r>
        <w:rPr>
          <w:rFonts w:hint="eastAsia" w:ascii="宋体" w:hAnsi="宋体" w:cs="宋体"/>
          <w:sz w:val="28"/>
          <w:szCs w:val="28"/>
          <w:lang w:val="zh-CN"/>
        </w:rPr>
        <w:t>在院内卫生方面，做到了每天一小扫，每周一大扫。并积极开展灭蚊、灭蝇、灭鼠，防止病菌传播，确保老人饮食安全。在老人服务方面，认真检查服务和管理方面存在的漏洞，针对存在的问题进行全面整改，切实把服务做好，把工作做细。</w:t>
      </w:r>
    </w:p>
    <w:p>
      <w:pPr>
        <w:adjustRightInd w:val="0"/>
        <w:spacing w:line="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加强干职工队伍建设。我院一直非常重视干职工的学习，并把这作为完成全院工作的前提。今年以来，根据上级部门的要求，周一夜学积极组织开展，做好夜学笔记。认真学习党的十九大以来的会议精神和习近平总书记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系列讲话,党的十九届六中全会《决议》，组织干职工认真学习法律知识，业务知识，使干职工的知识结构与知识水平有了不同程度的提高。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五、存在的主要问题与改进措施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从财政职能方面看，财政收支矛盾仍然突出，运行经费不足。科学理财，强化职能作用。积极推进账务决算公开，不断提高财务透明度；严格兑现各项节支降费，增强单位发展动力。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沅江市光荣院</w:t>
      </w:r>
    </w:p>
    <w:p>
      <w:pPr>
        <w:ind w:firstLine="420" w:firstLineChars="1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2022年7月25日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780" w:firstLineChars="210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36D52"/>
    <w:multiLevelType w:val="singleLevel"/>
    <w:tmpl w:val="59A36D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MDg3M2ViZGRlODQ2MTk2MTU0ZjEzNzZkZGY5MmUifQ=="/>
  </w:docVars>
  <w:rsids>
    <w:rsidRoot w:val="00BB3191"/>
    <w:rsid w:val="00007B4F"/>
    <w:rsid w:val="0002218E"/>
    <w:rsid w:val="00037771"/>
    <w:rsid w:val="000454D4"/>
    <w:rsid w:val="000621BC"/>
    <w:rsid w:val="00067D5D"/>
    <w:rsid w:val="0008128A"/>
    <w:rsid w:val="000818A7"/>
    <w:rsid w:val="000908AE"/>
    <w:rsid w:val="00092B98"/>
    <w:rsid w:val="000B69A1"/>
    <w:rsid w:val="000B7FD1"/>
    <w:rsid w:val="00117FD8"/>
    <w:rsid w:val="0012010A"/>
    <w:rsid w:val="00122984"/>
    <w:rsid w:val="001506BE"/>
    <w:rsid w:val="001545FF"/>
    <w:rsid w:val="001572BC"/>
    <w:rsid w:val="00160449"/>
    <w:rsid w:val="001750A7"/>
    <w:rsid w:val="001B0379"/>
    <w:rsid w:val="001C429B"/>
    <w:rsid w:val="00207FD8"/>
    <w:rsid w:val="00275446"/>
    <w:rsid w:val="002D1974"/>
    <w:rsid w:val="002D5D65"/>
    <w:rsid w:val="002F2564"/>
    <w:rsid w:val="00304CEF"/>
    <w:rsid w:val="003074C2"/>
    <w:rsid w:val="00331FE0"/>
    <w:rsid w:val="00337ABA"/>
    <w:rsid w:val="0034656C"/>
    <w:rsid w:val="003536E1"/>
    <w:rsid w:val="00376DF6"/>
    <w:rsid w:val="003912FD"/>
    <w:rsid w:val="003E2D73"/>
    <w:rsid w:val="003E7E88"/>
    <w:rsid w:val="00400E8A"/>
    <w:rsid w:val="00410AD0"/>
    <w:rsid w:val="00435111"/>
    <w:rsid w:val="00466455"/>
    <w:rsid w:val="005069A6"/>
    <w:rsid w:val="00543BBD"/>
    <w:rsid w:val="0056475E"/>
    <w:rsid w:val="00566471"/>
    <w:rsid w:val="005666FB"/>
    <w:rsid w:val="00594926"/>
    <w:rsid w:val="005A2BC6"/>
    <w:rsid w:val="00623A76"/>
    <w:rsid w:val="00642EEB"/>
    <w:rsid w:val="006C085A"/>
    <w:rsid w:val="006E53E1"/>
    <w:rsid w:val="00704782"/>
    <w:rsid w:val="007120BF"/>
    <w:rsid w:val="00715D87"/>
    <w:rsid w:val="0077748A"/>
    <w:rsid w:val="0079708C"/>
    <w:rsid w:val="007A4EF6"/>
    <w:rsid w:val="007B4D7A"/>
    <w:rsid w:val="007F255F"/>
    <w:rsid w:val="00804731"/>
    <w:rsid w:val="0081378C"/>
    <w:rsid w:val="0082564D"/>
    <w:rsid w:val="00832423"/>
    <w:rsid w:val="00833039"/>
    <w:rsid w:val="00841E83"/>
    <w:rsid w:val="00862BB6"/>
    <w:rsid w:val="008727B2"/>
    <w:rsid w:val="008F1841"/>
    <w:rsid w:val="009358CF"/>
    <w:rsid w:val="00940BBE"/>
    <w:rsid w:val="00974209"/>
    <w:rsid w:val="00977067"/>
    <w:rsid w:val="009951FA"/>
    <w:rsid w:val="009F348A"/>
    <w:rsid w:val="00A846E5"/>
    <w:rsid w:val="00A848CD"/>
    <w:rsid w:val="00A868AF"/>
    <w:rsid w:val="00A95B95"/>
    <w:rsid w:val="00AC458E"/>
    <w:rsid w:val="00AD74D0"/>
    <w:rsid w:val="00AF5521"/>
    <w:rsid w:val="00B31973"/>
    <w:rsid w:val="00B76D38"/>
    <w:rsid w:val="00BA0136"/>
    <w:rsid w:val="00BB3191"/>
    <w:rsid w:val="00BF26B8"/>
    <w:rsid w:val="00C03A6A"/>
    <w:rsid w:val="00C11697"/>
    <w:rsid w:val="00C5375C"/>
    <w:rsid w:val="00C968F4"/>
    <w:rsid w:val="00D05C65"/>
    <w:rsid w:val="00D122FA"/>
    <w:rsid w:val="00D27ED9"/>
    <w:rsid w:val="00D37486"/>
    <w:rsid w:val="00D4468B"/>
    <w:rsid w:val="00DA1EDD"/>
    <w:rsid w:val="00DA7173"/>
    <w:rsid w:val="00DC0E63"/>
    <w:rsid w:val="00DE6A32"/>
    <w:rsid w:val="00DF1004"/>
    <w:rsid w:val="00E12158"/>
    <w:rsid w:val="00E139E5"/>
    <w:rsid w:val="00E15F7D"/>
    <w:rsid w:val="00E34BE9"/>
    <w:rsid w:val="00E4120E"/>
    <w:rsid w:val="00EB0210"/>
    <w:rsid w:val="00EB372C"/>
    <w:rsid w:val="00ED16D9"/>
    <w:rsid w:val="00EE27B4"/>
    <w:rsid w:val="00EE3114"/>
    <w:rsid w:val="00EE5E41"/>
    <w:rsid w:val="00EF7749"/>
    <w:rsid w:val="00F13570"/>
    <w:rsid w:val="00F137D0"/>
    <w:rsid w:val="00F36B1F"/>
    <w:rsid w:val="00F46F98"/>
    <w:rsid w:val="00FA2D6E"/>
    <w:rsid w:val="00FC0638"/>
    <w:rsid w:val="00FD53E1"/>
    <w:rsid w:val="00FF0299"/>
    <w:rsid w:val="015C7865"/>
    <w:rsid w:val="0445292E"/>
    <w:rsid w:val="04776EED"/>
    <w:rsid w:val="06F3577C"/>
    <w:rsid w:val="0748602A"/>
    <w:rsid w:val="087B4279"/>
    <w:rsid w:val="0A89405F"/>
    <w:rsid w:val="0B351004"/>
    <w:rsid w:val="0ED83637"/>
    <w:rsid w:val="0FB91D01"/>
    <w:rsid w:val="13FA19D4"/>
    <w:rsid w:val="185B3CDF"/>
    <w:rsid w:val="1BB11F7A"/>
    <w:rsid w:val="1BB42F52"/>
    <w:rsid w:val="1BC224B4"/>
    <w:rsid w:val="1C125718"/>
    <w:rsid w:val="1CD222EC"/>
    <w:rsid w:val="1DE71C83"/>
    <w:rsid w:val="1E7C411A"/>
    <w:rsid w:val="1EDA44B4"/>
    <w:rsid w:val="208A734F"/>
    <w:rsid w:val="24BE4390"/>
    <w:rsid w:val="259B7B1F"/>
    <w:rsid w:val="2A6B1481"/>
    <w:rsid w:val="2DED5CF9"/>
    <w:rsid w:val="306F247A"/>
    <w:rsid w:val="31FC05CA"/>
    <w:rsid w:val="3201777D"/>
    <w:rsid w:val="33AB47BF"/>
    <w:rsid w:val="35676AA0"/>
    <w:rsid w:val="3620337D"/>
    <w:rsid w:val="36806379"/>
    <w:rsid w:val="393A393D"/>
    <w:rsid w:val="3B2B37FB"/>
    <w:rsid w:val="3D9B584E"/>
    <w:rsid w:val="3DCC5938"/>
    <w:rsid w:val="3E851FF8"/>
    <w:rsid w:val="42510332"/>
    <w:rsid w:val="43247EEA"/>
    <w:rsid w:val="433E5933"/>
    <w:rsid w:val="46F31F87"/>
    <w:rsid w:val="4A0A282E"/>
    <w:rsid w:val="4A1F49AE"/>
    <w:rsid w:val="4AAD647D"/>
    <w:rsid w:val="4AFD2237"/>
    <w:rsid w:val="4C3D696D"/>
    <w:rsid w:val="4E1B009F"/>
    <w:rsid w:val="51FB2557"/>
    <w:rsid w:val="56411C99"/>
    <w:rsid w:val="5A341FDA"/>
    <w:rsid w:val="5A826EBD"/>
    <w:rsid w:val="5CD25E87"/>
    <w:rsid w:val="5EF17835"/>
    <w:rsid w:val="64A73338"/>
    <w:rsid w:val="65401723"/>
    <w:rsid w:val="671A5705"/>
    <w:rsid w:val="68A273C0"/>
    <w:rsid w:val="6E5E4D88"/>
    <w:rsid w:val="6EE402CE"/>
    <w:rsid w:val="6FFA1989"/>
    <w:rsid w:val="70367B81"/>
    <w:rsid w:val="70CD2FA4"/>
    <w:rsid w:val="724459E1"/>
    <w:rsid w:val="73027B3B"/>
    <w:rsid w:val="77791161"/>
    <w:rsid w:val="7A0D6101"/>
    <w:rsid w:val="7A982866"/>
    <w:rsid w:val="7CF03085"/>
    <w:rsid w:val="7FA6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1363</Words>
  <Characters>1437</Characters>
  <Lines>10</Lines>
  <Paragraphs>2</Paragraphs>
  <TotalTime>3</TotalTime>
  <ScaleCrop>false</ScaleCrop>
  <LinksUpToDate>false</LinksUpToDate>
  <CharactersWithSpaces>1449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2022-07-27T08:11:00Z</dcterms:created>
  <dc:creator>微软用户</dc:creator>
  <cp:lastModifiedBy>tmy</cp:lastModifiedBy>
  <cp:lastPrinted>2019-07-29T09:36:00Z</cp:lastPrinted>
  <dcterms:modified xsi:type="dcterms:W3CDTF">2023-10-09T08:04:13Z</dcterms:modified>
  <dc:title>岳阳市财政局2015年度整体支出绩效自评报告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59E34F05A64F40BC9E539E71CE0D9CCC</vt:lpwstr>
  </property>
</Properties>
</file>