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auto"/>
        <w:spacing w:before="100" w:after="100" w:line="404" w:lineRule="atLeast"/>
        <w:jc w:val="center"/>
        <w:rPr>
          <w:rFonts w:hint="eastAsia" w:ascii="宋体" w:hAnsi="宋体" w:cs="宋体"/>
          <w:b/>
          <w:bCs/>
          <w:color w:val="000000"/>
          <w:kern w:val="0"/>
          <w:sz w:val="36"/>
          <w:szCs w:val="36"/>
          <w:highlight w:val="none"/>
          <w:lang w:val="en-US" w:eastAsia="zh-CN"/>
        </w:rPr>
      </w:pPr>
      <w:r>
        <w:rPr>
          <w:rFonts w:hint="eastAsia" w:ascii="宋体" w:hAnsi="宋体" w:cs="宋体"/>
          <w:b/>
          <w:bCs/>
          <w:color w:val="000000"/>
          <w:kern w:val="0"/>
          <w:sz w:val="36"/>
          <w:szCs w:val="36"/>
          <w:highlight w:val="none"/>
          <w:lang w:val="en-US" w:eastAsia="zh-CN"/>
        </w:rPr>
        <w:t>2022年</w:t>
      </w:r>
      <w:r>
        <w:rPr>
          <w:rFonts w:hint="eastAsia" w:ascii="宋体" w:hAnsi="宋体" w:cs="宋体"/>
          <w:b/>
          <w:bCs/>
          <w:color w:val="000000"/>
          <w:kern w:val="0"/>
          <w:sz w:val="36"/>
          <w:szCs w:val="36"/>
          <w:highlight w:val="none"/>
        </w:rPr>
        <w:t>沅江市</w:t>
      </w:r>
      <w:r>
        <w:rPr>
          <w:rFonts w:hint="eastAsia" w:ascii="宋体" w:hAnsi="宋体" w:cs="宋体"/>
          <w:b/>
          <w:bCs/>
          <w:color w:val="000000"/>
          <w:kern w:val="0"/>
          <w:sz w:val="36"/>
          <w:szCs w:val="36"/>
          <w:highlight w:val="none"/>
          <w:lang w:val="en-US" w:eastAsia="zh-CN"/>
        </w:rPr>
        <w:t>人民代表大会常务委员会部门预算公开</w:t>
      </w:r>
    </w:p>
    <w:p>
      <w:pPr>
        <w:jc w:val="center"/>
        <w:rPr>
          <w:rFonts w:hint="eastAsia" w:ascii="黑体" w:hAnsi="黑体" w:eastAsia="黑体" w:cs="黑体"/>
          <w:sz w:val="32"/>
          <w:szCs w:val="32"/>
        </w:rPr>
      </w:pPr>
      <w:r>
        <w:rPr>
          <w:rFonts w:hint="eastAsia" w:ascii="黑体" w:hAnsi="黑体" w:eastAsia="黑体" w:cs="黑体"/>
          <w:sz w:val="32"/>
          <w:szCs w:val="32"/>
        </w:rPr>
        <w:t>目  录</w:t>
      </w:r>
    </w:p>
    <w:p>
      <w:pPr>
        <w:rPr>
          <w:rFonts w:ascii="宋体" w:hAnsi="宋体"/>
          <w:sz w:val="44"/>
          <w:szCs w:val="44"/>
        </w:rPr>
      </w:pPr>
    </w:p>
    <w:p>
      <w:pPr>
        <w:pStyle w:val="14"/>
        <w:keepNext w:val="0"/>
        <w:keepLines w:val="0"/>
        <w:pageBreakBefore w:val="0"/>
        <w:widowControl w:val="0"/>
        <w:numPr>
          <w:ilvl w:val="0"/>
          <w:numId w:val="0"/>
        </w:numPr>
        <w:kinsoku/>
        <w:wordWrap/>
        <w:overflowPunct/>
        <w:topLinePunct w:val="0"/>
        <w:autoSpaceDE/>
        <w:autoSpaceDN/>
        <w:bidi w:val="0"/>
        <w:adjustRightInd/>
        <w:snapToGrid/>
        <w:ind w:leftChars="0" w:firstLine="636"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 xml:space="preserve">第一部分  </w:t>
      </w:r>
      <w:r>
        <w:rPr>
          <w:rFonts w:hint="eastAsia" w:ascii="仿宋_GB2312" w:hAnsi="仿宋_GB2312" w:eastAsia="仿宋_GB2312" w:cs="仿宋_GB2312"/>
          <w:b/>
          <w:bCs/>
          <w:sz w:val="32"/>
          <w:szCs w:val="32"/>
        </w:rPr>
        <w:t>202</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年部门预算编制说明</w:t>
      </w:r>
    </w:p>
    <w:p>
      <w:pPr>
        <w:pStyle w:val="14"/>
        <w:keepNext w:val="0"/>
        <w:keepLines w:val="0"/>
        <w:pageBreakBefore w:val="0"/>
        <w:widowControl w:val="0"/>
        <w:numPr>
          <w:ilvl w:val="0"/>
          <w:numId w:val="0"/>
        </w:numPr>
        <w:kinsoku/>
        <w:wordWrap/>
        <w:overflowPunct/>
        <w:topLinePunct w:val="0"/>
        <w:autoSpaceDE/>
        <w:autoSpaceDN/>
        <w:bidi w:val="0"/>
        <w:adjustRightInd/>
        <w:snapToGrid/>
        <w:ind w:leftChars="0" w:firstLine="636"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第二部分  2022年</w:t>
      </w:r>
      <w:r>
        <w:rPr>
          <w:rFonts w:hint="eastAsia" w:ascii="仿宋_GB2312" w:hAnsi="仿宋_GB2312" w:eastAsia="仿宋_GB2312" w:cs="仿宋_GB2312"/>
          <w:b/>
          <w:bCs/>
          <w:sz w:val="32"/>
          <w:szCs w:val="32"/>
        </w:rPr>
        <w:t>部门预算公开表</w:t>
      </w:r>
    </w:p>
    <w:p>
      <w:pPr>
        <w:pStyle w:val="14"/>
        <w:keepNext w:val="0"/>
        <w:keepLines w:val="0"/>
        <w:pageBreakBefore w:val="0"/>
        <w:widowControl w:val="0"/>
        <w:numPr>
          <w:ilvl w:val="0"/>
          <w:numId w:val="1"/>
        </w:numPr>
        <w:kinsoku/>
        <w:wordWrap/>
        <w:overflowPunct/>
        <w:topLinePunct w:val="0"/>
        <w:autoSpaceDE/>
        <w:autoSpaceDN/>
        <w:bidi w:val="0"/>
        <w:adjustRightInd/>
        <w:snapToGrid/>
        <w:ind w:left="0" w:leftChars="0" w:firstLine="63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部门收支总表</w:t>
      </w:r>
    </w:p>
    <w:p>
      <w:pPr>
        <w:pStyle w:val="14"/>
        <w:keepNext w:val="0"/>
        <w:keepLines w:val="0"/>
        <w:pageBreakBefore w:val="0"/>
        <w:widowControl w:val="0"/>
        <w:numPr>
          <w:ilvl w:val="0"/>
          <w:numId w:val="1"/>
        </w:numPr>
        <w:kinsoku/>
        <w:wordWrap/>
        <w:overflowPunct/>
        <w:topLinePunct w:val="0"/>
        <w:autoSpaceDE/>
        <w:autoSpaceDN/>
        <w:bidi w:val="0"/>
        <w:adjustRightInd/>
        <w:snapToGrid/>
        <w:ind w:left="0" w:leftChars="0" w:firstLine="63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部门收入总表</w:t>
      </w:r>
    </w:p>
    <w:p>
      <w:pPr>
        <w:pStyle w:val="14"/>
        <w:keepNext w:val="0"/>
        <w:keepLines w:val="0"/>
        <w:pageBreakBefore w:val="0"/>
        <w:widowControl w:val="0"/>
        <w:numPr>
          <w:ilvl w:val="0"/>
          <w:numId w:val="1"/>
        </w:numPr>
        <w:kinsoku/>
        <w:wordWrap/>
        <w:overflowPunct/>
        <w:topLinePunct w:val="0"/>
        <w:autoSpaceDE/>
        <w:autoSpaceDN/>
        <w:bidi w:val="0"/>
        <w:adjustRightInd/>
        <w:snapToGrid/>
        <w:ind w:left="0" w:leftChars="0" w:firstLine="63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部门支出总表</w:t>
      </w:r>
    </w:p>
    <w:p>
      <w:pPr>
        <w:pStyle w:val="14"/>
        <w:keepNext w:val="0"/>
        <w:keepLines w:val="0"/>
        <w:pageBreakBefore w:val="0"/>
        <w:widowControl w:val="0"/>
        <w:numPr>
          <w:ilvl w:val="0"/>
          <w:numId w:val="1"/>
        </w:numPr>
        <w:kinsoku/>
        <w:wordWrap/>
        <w:overflowPunct/>
        <w:topLinePunct w:val="0"/>
        <w:autoSpaceDE/>
        <w:autoSpaceDN/>
        <w:bidi w:val="0"/>
        <w:adjustRightInd/>
        <w:snapToGrid/>
        <w:ind w:left="0" w:leftChars="0" w:firstLine="63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14"/>
        <w:keepNext w:val="0"/>
        <w:keepLines w:val="0"/>
        <w:pageBreakBefore w:val="0"/>
        <w:widowControl w:val="0"/>
        <w:numPr>
          <w:ilvl w:val="0"/>
          <w:numId w:val="1"/>
        </w:numPr>
        <w:kinsoku/>
        <w:wordWrap/>
        <w:overflowPunct/>
        <w:topLinePunct w:val="0"/>
        <w:autoSpaceDE/>
        <w:autoSpaceDN/>
        <w:bidi w:val="0"/>
        <w:adjustRightInd/>
        <w:snapToGrid/>
        <w:ind w:left="0" w:leftChars="0" w:firstLine="63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本年一般公共预算支出表</w:t>
      </w:r>
      <w:r>
        <w:rPr>
          <w:rFonts w:hint="eastAsia" w:ascii="仿宋_GB2312" w:hAnsi="仿宋_GB2312" w:eastAsia="仿宋_GB2312" w:cs="仿宋_GB2312"/>
          <w:sz w:val="32"/>
          <w:szCs w:val="32"/>
          <w:lang w:eastAsia="zh-CN"/>
        </w:rPr>
        <w:t>（功能分类）</w:t>
      </w:r>
    </w:p>
    <w:p>
      <w:pPr>
        <w:pStyle w:val="14"/>
        <w:keepNext w:val="0"/>
        <w:keepLines w:val="0"/>
        <w:pageBreakBefore w:val="0"/>
        <w:widowControl w:val="0"/>
        <w:numPr>
          <w:ilvl w:val="0"/>
          <w:numId w:val="1"/>
        </w:numPr>
        <w:kinsoku/>
        <w:wordWrap/>
        <w:overflowPunct/>
        <w:topLinePunct w:val="0"/>
        <w:autoSpaceDE/>
        <w:autoSpaceDN/>
        <w:bidi w:val="0"/>
        <w:adjustRightInd/>
        <w:snapToGrid/>
        <w:ind w:left="0" w:leftChars="0" w:firstLine="63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本年一般公共预算基本支出表（经济分类）</w:t>
      </w:r>
    </w:p>
    <w:p>
      <w:pPr>
        <w:pStyle w:val="14"/>
        <w:keepNext w:val="0"/>
        <w:keepLines w:val="0"/>
        <w:pageBreakBefore w:val="0"/>
        <w:widowControl w:val="0"/>
        <w:numPr>
          <w:ilvl w:val="0"/>
          <w:numId w:val="1"/>
        </w:numPr>
        <w:kinsoku/>
        <w:wordWrap/>
        <w:overflowPunct/>
        <w:topLinePunct w:val="0"/>
        <w:autoSpaceDE/>
        <w:autoSpaceDN/>
        <w:bidi w:val="0"/>
        <w:adjustRightInd/>
        <w:snapToGrid/>
        <w:ind w:left="0" w:leftChars="0" w:firstLine="63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本年一般公共预算“三公”经费支出表</w:t>
      </w:r>
    </w:p>
    <w:p>
      <w:pPr>
        <w:pStyle w:val="14"/>
        <w:keepNext w:val="0"/>
        <w:keepLines w:val="0"/>
        <w:pageBreakBefore w:val="0"/>
        <w:widowControl w:val="0"/>
        <w:numPr>
          <w:ilvl w:val="0"/>
          <w:numId w:val="1"/>
        </w:numPr>
        <w:kinsoku/>
        <w:wordWrap/>
        <w:overflowPunct/>
        <w:topLinePunct w:val="0"/>
        <w:autoSpaceDE/>
        <w:autoSpaceDN/>
        <w:bidi w:val="0"/>
        <w:adjustRightInd/>
        <w:snapToGrid/>
        <w:ind w:left="0" w:leftChars="0" w:firstLine="63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14"/>
        <w:keepNext w:val="0"/>
        <w:keepLines w:val="0"/>
        <w:pageBreakBefore w:val="0"/>
        <w:widowControl w:val="0"/>
        <w:numPr>
          <w:ilvl w:val="0"/>
          <w:numId w:val="1"/>
        </w:numPr>
        <w:kinsoku/>
        <w:wordWrap/>
        <w:overflowPunct/>
        <w:topLinePunct w:val="0"/>
        <w:autoSpaceDE/>
        <w:autoSpaceDN/>
        <w:bidi w:val="0"/>
        <w:adjustRightInd/>
        <w:snapToGrid/>
        <w:ind w:left="0" w:leftChars="0" w:firstLine="63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项目支出表</w:t>
      </w:r>
    </w:p>
    <w:p>
      <w:pPr>
        <w:keepNext w:val="0"/>
        <w:keepLines w:val="0"/>
        <w:pageBreakBefore w:val="0"/>
        <w:widowControl/>
        <w:kinsoku/>
        <w:wordWrap/>
        <w:overflowPunct/>
        <w:topLinePunct w:val="0"/>
        <w:autoSpaceDE/>
        <w:autoSpaceDN/>
        <w:bidi w:val="0"/>
        <w:adjustRightInd/>
        <w:snapToGrid/>
        <w:spacing w:line="600" w:lineRule="exact"/>
        <w:ind w:firstLine="636" w:firstLineChars="200"/>
        <w:textAlignment w:val="auto"/>
        <w:rPr>
          <w:rFonts w:eastAsia="仿宋_GB2312"/>
          <w:bCs/>
          <w:kern w:val="0"/>
          <w:sz w:val="32"/>
          <w:szCs w:val="32"/>
        </w:rPr>
      </w:pPr>
      <w:r>
        <w:rPr>
          <w:rFonts w:hint="eastAsia" w:ascii="仿宋_GB2312" w:hAnsi="仿宋_GB2312" w:eastAsia="仿宋_GB2312" w:cs="仿宋_GB2312"/>
          <w:bCs/>
          <w:kern w:val="0"/>
          <w:sz w:val="32"/>
          <w:szCs w:val="32"/>
        </w:rPr>
        <w:t>注：以上部门预算报表中，空表表示本部门无相关收支情况。</w:t>
      </w:r>
    </w:p>
    <w:p>
      <w:pPr>
        <w:widowControl/>
        <w:spacing w:line="600" w:lineRule="exact"/>
        <w:jc w:val="left"/>
        <w:rPr>
          <w:rFonts w:eastAsia="仿宋_GB2312"/>
          <w:bCs/>
          <w:kern w:val="0"/>
          <w:sz w:val="32"/>
          <w:szCs w:val="32"/>
        </w:rPr>
      </w:pPr>
    </w:p>
    <w:p>
      <w:pPr>
        <w:rPr>
          <w:rFonts w:eastAsia="仿宋_GB2312"/>
          <w:bCs/>
          <w:kern w:val="0"/>
          <w:sz w:val="32"/>
          <w:szCs w:val="32"/>
        </w:rPr>
      </w:pPr>
      <w:r>
        <w:rPr>
          <w:rFonts w:eastAsia="仿宋_GB2312"/>
          <w:bCs/>
          <w:kern w:val="0"/>
          <w:sz w:val="32"/>
          <w:szCs w:val="32"/>
        </w:rPr>
        <w:br w:type="page"/>
      </w:r>
    </w:p>
    <w:p>
      <w:pPr>
        <w:widowControl/>
        <w:spacing w:line="600" w:lineRule="exact"/>
        <w:jc w:val="center"/>
        <w:rPr>
          <w:rFonts w:eastAsia="方正小标宋_GBK"/>
          <w:bCs/>
          <w:kern w:val="0"/>
          <w:sz w:val="36"/>
          <w:szCs w:val="36"/>
        </w:rPr>
      </w:pPr>
      <w:r>
        <w:rPr>
          <w:rFonts w:eastAsia="方正小标宋_GBK"/>
          <w:bCs/>
          <w:kern w:val="0"/>
          <w:sz w:val="36"/>
          <w:szCs w:val="36"/>
        </w:rPr>
        <w:t xml:space="preserve">第一部分 </w:t>
      </w:r>
      <w:r>
        <w:rPr>
          <w:rFonts w:hint="eastAsia" w:eastAsia="方正小标宋_GBK"/>
          <w:bCs/>
          <w:kern w:val="0"/>
          <w:sz w:val="36"/>
          <w:szCs w:val="36"/>
          <w:lang w:eastAsia="zh-CN"/>
        </w:rPr>
        <w:t>2022年</w:t>
      </w:r>
      <w:r>
        <w:rPr>
          <w:rFonts w:eastAsia="方正小标宋_GBK"/>
          <w:bCs/>
          <w:kern w:val="0"/>
          <w:sz w:val="36"/>
          <w:szCs w:val="36"/>
        </w:rPr>
        <w:t>部门预算说明</w:t>
      </w:r>
    </w:p>
    <w:p>
      <w:pPr>
        <w:widowControl/>
        <w:spacing w:line="600" w:lineRule="exact"/>
        <w:jc w:val="left"/>
        <w:rPr>
          <w:rFonts w:eastAsia="仿宋_GB2312"/>
          <w:b/>
          <w:bCs/>
          <w:kern w:val="0"/>
          <w:sz w:val="32"/>
          <w:szCs w:val="32"/>
        </w:rPr>
      </w:pPr>
    </w:p>
    <w:p>
      <w:pPr>
        <w:widowControl/>
        <w:spacing w:line="600" w:lineRule="exact"/>
        <w:ind w:firstLine="624" w:firstLineChars="196"/>
        <w:jc w:val="left"/>
        <w:rPr>
          <w:rFonts w:eastAsia="黑体"/>
          <w:bCs/>
          <w:kern w:val="0"/>
          <w:sz w:val="32"/>
          <w:szCs w:val="32"/>
        </w:rPr>
      </w:pPr>
      <w:r>
        <w:rPr>
          <w:rFonts w:eastAsia="黑体"/>
          <w:bCs/>
          <w:kern w:val="0"/>
          <w:sz w:val="32"/>
          <w:szCs w:val="32"/>
        </w:rPr>
        <w:t>一、部门基本概况</w:t>
      </w:r>
    </w:p>
    <w:p>
      <w:pPr>
        <w:widowControl/>
        <w:spacing w:line="600" w:lineRule="exact"/>
        <w:ind w:firstLine="624" w:firstLineChars="196"/>
        <w:jc w:val="left"/>
        <w:rPr>
          <w:rFonts w:eastAsia="楷体_GB2312"/>
          <w:b/>
          <w:sz w:val="32"/>
          <w:szCs w:val="32"/>
        </w:rPr>
      </w:pPr>
      <w:r>
        <w:rPr>
          <w:rFonts w:eastAsia="楷体_GB2312"/>
          <w:b/>
          <w:sz w:val="32"/>
          <w:szCs w:val="32"/>
        </w:rPr>
        <w:t>（一）职能职责。</w:t>
      </w:r>
    </w:p>
    <w:p>
      <w:pPr>
        <w:widowControl/>
        <w:spacing w:line="600" w:lineRule="exact"/>
        <w:ind w:firstLine="624" w:firstLineChars="196"/>
        <w:jc w:val="left"/>
        <w:rPr>
          <w:rFonts w:hint="eastAsia" w:eastAsia="仿宋_GB2312"/>
          <w:sz w:val="32"/>
          <w:szCs w:val="32"/>
        </w:rPr>
      </w:pPr>
      <w:r>
        <w:rPr>
          <w:rFonts w:hint="eastAsia" w:eastAsia="仿宋_GB2312"/>
          <w:sz w:val="32"/>
          <w:szCs w:val="32"/>
        </w:rPr>
        <w:t>（一）职能职责</w:t>
      </w:r>
    </w:p>
    <w:p>
      <w:pPr>
        <w:widowControl/>
        <w:spacing w:line="600" w:lineRule="exact"/>
        <w:ind w:firstLine="624" w:firstLineChars="196"/>
        <w:jc w:val="left"/>
        <w:rPr>
          <w:rFonts w:hint="eastAsia" w:eastAsia="仿宋_GB2312"/>
          <w:sz w:val="32"/>
          <w:szCs w:val="32"/>
        </w:rPr>
      </w:pPr>
      <w:r>
        <w:rPr>
          <w:rFonts w:hint="eastAsia" w:eastAsia="仿宋_GB2312"/>
          <w:sz w:val="32"/>
          <w:szCs w:val="32"/>
        </w:rPr>
        <w:t>1、沅江市人民代表大会及其常务委员会（以下简称市人大及其常委会）</w:t>
      </w:r>
    </w:p>
    <w:p>
      <w:pPr>
        <w:widowControl/>
        <w:spacing w:line="600" w:lineRule="exact"/>
        <w:ind w:firstLine="624" w:firstLineChars="196"/>
        <w:jc w:val="left"/>
        <w:rPr>
          <w:rFonts w:hint="eastAsia" w:eastAsia="仿宋_GB2312"/>
          <w:sz w:val="32"/>
          <w:szCs w:val="32"/>
        </w:rPr>
      </w:pPr>
      <w:r>
        <w:rPr>
          <w:rFonts w:hint="eastAsia" w:eastAsia="仿宋_GB2312"/>
          <w:sz w:val="32"/>
          <w:szCs w:val="32"/>
        </w:rPr>
        <w:t>主要职责：行使《中华人民共和国地方各级人民代表大会和地方各级人民政府组织法》、《中华人民共和国各级人民代表大会常务委员会监督法》规定的职责，在履行职责过程中贯彻落实党中央关于人大工作的方针政策和决策部署，全面落实省委、益阳市委、沅江市委关于人大工作的部署要求，坚持和加强党对人大工作的集中统一领导。</w:t>
      </w:r>
    </w:p>
    <w:p>
      <w:pPr>
        <w:widowControl/>
        <w:spacing w:line="600" w:lineRule="exact"/>
        <w:ind w:firstLine="624" w:firstLineChars="196"/>
        <w:jc w:val="left"/>
        <w:rPr>
          <w:rFonts w:hint="eastAsia" w:eastAsia="仿宋_GB2312"/>
          <w:sz w:val="32"/>
          <w:szCs w:val="32"/>
        </w:rPr>
      </w:pPr>
      <w:r>
        <w:rPr>
          <w:rFonts w:hint="eastAsia" w:eastAsia="仿宋_GB2312"/>
          <w:sz w:val="32"/>
          <w:szCs w:val="32"/>
        </w:rPr>
        <w:t>2、人大常委会设置2个办事（工作）机构工作职责：</w:t>
      </w:r>
    </w:p>
    <w:p>
      <w:pPr>
        <w:widowControl/>
        <w:spacing w:line="600" w:lineRule="exact"/>
        <w:ind w:firstLine="624" w:firstLineChars="196"/>
        <w:jc w:val="left"/>
        <w:rPr>
          <w:rFonts w:hint="eastAsia" w:eastAsia="仿宋_GB2312"/>
          <w:sz w:val="32"/>
          <w:szCs w:val="32"/>
        </w:rPr>
      </w:pPr>
      <w:r>
        <w:rPr>
          <w:rFonts w:hint="eastAsia" w:eastAsia="仿宋_GB2312"/>
          <w:sz w:val="32"/>
          <w:szCs w:val="32"/>
        </w:rPr>
        <w:t>（1）办公室（市人大常委会研究室），主要职责是：负责市人民代表大会会议、市人大常委会会议、市人大常委会主任会议、党组会议、机关联系会议和以常务委员会名义召开的其他会议的有关会务；负责围绕市人大常委会工作部署和人大制度建设的有关问题开展调查研究和理论研讨；负责全市人大工作情况及外地人大工作信息的综合，编辑印发《沅江人大工作通讯》刊物（内刊）、公报和沅江人大年鉴，编印常委会公报；负责机关公文处理、档案管理和机要保密工作；负责机关人事、政工、目标管理考核工作；负责机关公务接待、财务管理、后勤保障、安全保卫和离退休人员服务工作；负责机关值班，办理常委会的对外联络工作；负责市人大及其常委会重要文件和常委会领导综合性文稿起草工作；办理市人大常委会及其主任会议交办的其他事项，承办益阳市人大常委会办公室及研究室交办的工作。</w:t>
      </w:r>
    </w:p>
    <w:p>
      <w:pPr>
        <w:widowControl/>
        <w:spacing w:line="600" w:lineRule="exact"/>
        <w:ind w:firstLine="624" w:firstLineChars="196"/>
        <w:jc w:val="left"/>
        <w:rPr>
          <w:rFonts w:hint="eastAsia" w:eastAsia="仿宋_GB2312"/>
          <w:sz w:val="32"/>
          <w:szCs w:val="32"/>
        </w:rPr>
      </w:pPr>
      <w:r>
        <w:rPr>
          <w:rFonts w:hint="eastAsia" w:eastAsia="仿宋_GB2312"/>
          <w:sz w:val="32"/>
          <w:szCs w:val="32"/>
        </w:rPr>
        <w:t>（2）选举任免联络工作委员会，主要职责是：承办市人民代表大会换届选举和益阳市人大代表换届选举的有关组织工作，指导乡镇人大换届选举工作；承办市人大常委会人事任免工作，依法做好市人民政府、市监察委员会、市人民法院、市人民检察院提请市人大常委会人事任免的各项工作；做好市人大常委会主任会议提请人事任免事项的各项工作；办理代表罢免、辞职、停止执行代表职务、许可对代表采取强制措施和增选补选有关工作，协助配合市委组织部做好人大代表推荐提名、管理有关工作；承担市人大常委会代表资格审查委员会的具体工作；联系本市的全国、省、益阳市、沅江市人大代表。根据省、益阳市、沅江市人大常委会的安排，组织全国、省、益阳市、沅江市人大代表开展闭会期间代表活动，为代表依法执行职务提供服务；负责市人大代表培训工作；负责市人大代表建议、批评和意见的受理、交办，牵头督促检查市人大代表建议、批评和意见的办理工作；联系指导乡镇人大有关工作；接待和办理全国、省、益阳市、沅江市人大代表的来信来访；做好市人大代表的服务工作；办理市人大常委会及其主任会议交办的其他事项，承办益阳市人大常委会选举任免联络工作委员会交办的工作。</w:t>
      </w:r>
    </w:p>
    <w:p>
      <w:pPr>
        <w:widowControl/>
        <w:spacing w:line="600" w:lineRule="exact"/>
        <w:ind w:firstLine="624" w:firstLineChars="196"/>
        <w:jc w:val="left"/>
        <w:rPr>
          <w:rFonts w:hint="eastAsia" w:eastAsia="仿宋_GB2312"/>
          <w:sz w:val="32"/>
          <w:szCs w:val="32"/>
        </w:rPr>
      </w:pPr>
      <w:r>
        <w:rPr>
          <w:rFonts w:hint="eastAsia" w:eastAsia="仿宋_GB2312"/>
          <w:sz w:val="32"/>
          <w:szCs w:val="32"/>
        </w:rPr>
        <w:t>3、市人大设置的7个专门委员会工作职责</w:t>
      </w:r>
    </w:p>
    <w:p>
      <w:pPr>
        <w:widowControl/>
        <w:spacing w:line="600" w:lineRule="exact"/>
        <w:ind w:firstLine="624" w:firstLineChars="196"/>
        <w:jc w:val="left"/>
        <w:rPr>
          <w:rFonts w:hint="eastAsia" w:eastAsia="仿宋_GB2312"/>
          <w:sz w:val="32"/>
          <w:szCs w:val="32"/>
        </w:rPr>
      </w:pPr>
      <w:r>
        <w:rPr>
          <w:rFonts w:hint="eastAsia" w:eastAsia="仿宋_GB2312"/>
          <w:sz w:val="32"/>
          <w:szCs w:val="32"/>
        </w:rPr>
        <w:t>民族华侨外事委员会、监察和司法委员会、财政经济委员会、教育科学文化卫生委员会、环境与资源保护委员会、农业与农村委员会、社会建设委员会等专门委员会，在市人民代表大会闭会期间，受市人大常委会领导，按照法律赋予的职责开展工作。</w:t>
      </w:r>
    </w:p>
    <w:p>
      <w:pPr>
        <w:widowControl/>
        <w:spacing w:line="600" w:lineRule="exact"/>
        <w:ind w:firstLine="624" w:firstLineChars="196"/>
        <w:jc w:val="left"/>
        <w:rPr>
          <w:rFonts w:hint="eastAsia" w:eastAsia="仿宋_GB2312"/>
          <w:sz w:val="32"/>
          <w:szCs w:val="32"/>
        </w:rPr>
      </w:pPr>
      <w:r>
        <w:rPr>
          <w:rFonts w:hint="eastAsia" w:eastAsia="仿宋_GB2312"/>
          <w:sz w:val="32"/>
          <w:szCs w:val="32"/>
        </w:rPr>
        <w:t>4、市人大财政预算联网服务中心，为市人大财政经济委员会（市人大常委会预算工作委员会）所属公益一类股级事业单位</w:t>
      </w:r>
    </w:p>
    <w:p>
      <w:pPr>
        <w:widowControl/>
        <w:spacing w:line="600" w:lineRule="exact"/>
        <w:ind w:firstLine="624" w:firstLineChars="196"/>
        <w:jc w:val="left"/>
        <w:rPr>
          <w:rFonts w:hint="eastAsia" w:eastAsia="仿宋_GB2312"/>
          <w:sz w:val="32"/>
          <w:szCs w:val="32"/>
        </w:rPr>
      </w:pPr>
      <w:r>
        <w:rPr>
          <w:rFonts w:hint="eastAsia" w:eastAsia="仿宋_GB2312"/>
          <w:sz w:val="32"/>
          <w:szCs w:val="32"/>
        </w:rPr>
        <w:t>主要职责是：负责人大财政预算联网监督系统安全、规范、有效运行的相关工作；负责人大财政预算联网监督系统数据采集及数据采集传送电子化建设；负责为市人大常委会领导、市人大代表及人大各专门委员会和常委会工作委室提供报表查询、数据分析、智能预警、动态监控、对比纠错等服务；承担市财政经济委员会财政预算监督相关事务性工作，完成市财政经济委员会交办的其他工作任务。</w:t>
      </w:r>
    </w:p>
    <w:p>
      <w:pPr>
        <w:widowControl/>
        <w:spacing w:line="600" w:lineRule="exact"/>
        <w:ind w:firstLine="624" w:firstLineChars="196"/>
        <w:jc w:val="left"/>
        <w:rPr>
          <w:rFonts w:eastAsia="楷体_GB2312"/>
          <w:b/>
          <w:sz w:val="32"/>
          <w:szCs w:val="32"/>
        </w:rPr>
      </w:pPr>
      <w:r>
        <w:rPr>
          <w:rFonts w:eastAsia="楷体_GB2312"/>
          <w:b/>
          <w:sz w:val="32"/>
          <w:szCs w:val="32"/>
        </w:rPr>
        <w:t>（二）机构设置。</w:t>
      </w:r>
    </w:p>
    <w:p>
      <w:pPr>
        <w:widowControl/>
        <w:spacing w:line="600" w:lineRule="exact"/>
        <w:ind w:firstLine="624" w:firstLineChars="196"/>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根据编委核定，人大常委会设置2个办事（工作）机构：办公室（市人大常委会研究室）、选举任免联络工作委员会，专门委员会7个：民族华侨外事委员会、监察和司法委员会、财政经济委员会、教育科学文化卫生委员会、环境与资源保护委员会、农业与农村委员会、社会建设委员会，所属事业单位1个：市财政预算联网服务中心，全部纳入</w:t>
      </w:r>
      <w:r>
        <w:rPr>
          <w:rFonts w:hint="eastAsia" w:ascii="Times New Roman" w:hAnsi="Times New Roman" w:eastAsia="仿宋_GB2312" w:cs="Times New Roman"/>
          <w:sz w:val="32"/>
          <w:szCs w:val="32"/>
          <w:lang w:eastAsia="zh-CN"/>
        </w:rPr>
        <w:t>2022年</w:t>
      </w:r>
      <w:r>
        <w:rPr>
          <w:rFonts w:hint="eastAsia" w:ascii="Times New Roman" w:hAnsi="Times New Roman" w:eastAsia="仿宋_GB2312" w:cs="Times New Roman"/>
          <w:sz w:val="32"/>
          <w:szCs w:val="32"/>
        </w:rPr>
        <w:t>部门预算编制范围。 </w:t>
      </w:r>
    </w:p>
    <w:p>
      <w:pPr>
        <w:widowControl/>
        <w:spacing w:line="600" w:lineRule="exact"/>
        <w:ind w:firstLine="624" w:firstLineChars="196"/>
        <w:jc w:val="left"/>
        <w:rPr>
          <w:rFonts w:eastAsia="黑体"/>
          <w:kern w:val="0"/>
          <w:sz w:val="32"/>
          <w:szCs w:val="32"/>
        </w:rPr>
      </w:pPr>
      <w:r>
        <w:rPr>
          <w:rFonts w:eastAsia="黑体"/>
          <w:kern w:val="0"/>
          <w:sz w:val="32"/>
          <w:szCs w:val="32"/>
        </w:rPr>
        <w:t>二、部门预算单位构成</w:t>
      </w:r>
    </w:p>
    <w:p>
      <w:pPr>
        <w:widowControl/>
        <w:spacing w:line="600" w:lineRule="exact"/>
        <w:ind w:firstLine="624" w:firstLineChars="196"/>
        <w:jc w:val="left"/>
        <w:rPr>
          <w:rFonts w:eastAsia="仿宋_GB2312"/>
          <w:sz w:val="32"/>
          <w:szCs w:val="32"/>
        </w:rPr>
      </w:pPr>
      <w:r>
        <w:rPr>
          <w:rFonts w:hint="eastAsia" w:eastAsia="仿宋_GB2312"/>
          <w:sz w:val="32"/>
          <w:szCs w:val="32"/>
        </w:rPr>
        <w:t>我</w:t>
      </w:r>
      <w:r>
        <w:rPr>
          <w:rFonts w:hint="eastAsia" w:eastAsia="仿宋_GB2312"/>
          <w:sz w:val="32"/>
          <w:szCs w:val="32"/>
          <w:lang w:val="en-US" w:eastAsia="zh-CN"/>
        </w:rPr>
        <w:t>单位</w:t>
      </w:r>
      <w:r>
        <w:rPr>
          <w:rFonts w:hint="eastAsia" w:eastAsia="仿宋_GB2312"/>
          <w:sz w:val="32"/>
          <w:szCs w:val="32"/>
        </w:rPr>
        <w:t>无</w:t>
      </w:r>
      <w:r>
        <w:rPr>
          <w:rFonts w:eastAsia="仿宋_GB2312"/>
          <w:sz w:val="32"/>
          <w:szCs w:val="32"/>
        </w:rPr>
        <w:t>二级预算单位，因此，纳入</w:t>
      </w:r>
      <w:r>
        <w:rPr>
          <w:rFonts w:hint="eastAsia" w:eastAsia="仿宋_GB2312"/>
          <w:sz w:val="32"/>
          <w:szCs w:val="32"/>
          <w:lang w:eastAsia="zh-CN"/>
        </w:rPr>
        <w:t>2022年</w:t>
      </w:r>
      <w:r>
        <w:rPr>
          <w:rFonts w:eastAsia="仿宋_GB2312"/>
          <w:sz w:val="32"/>
          <w:szCs w:val="32"/>
        </w:rPr>
        <w:t>部门预算编制范围的</w:t>
      </w:r>
      <w:r>
        <w:rPr>
          <w:rFonts w:hint="eastAsia" w:eastAsia="仿宋_GB2312"/>
          <w:sz w:val="32"/>
          <w:szCs w:val="32"/>
        </w:rPr>
        <w:t>为</w:t>
      </w:r>
      <w:r>
        <w:rPr>
          <w:rFonts w:hint="eastAsia" w:eastAsia="仿宋_GB2312"/>
          <w:sz w:val="32"/>
          <w:szCs w:val="32"/>
          <w:lang w:val="en-US" w:eastAsia="zh-CN"/>
        </w:rPr>
        <w:t>沅江市人民代表大会常务委员会</w:t>
      </w:r>
      <w:r>
        <w:rPr>
          <w:rFonts w:eastAsia="仿宋_GB2312"/>
          <w:sz w:val="32"/>
          <w:szCs w:val="32"/>
        </w:rPr>
        <w:t>本级。</w:t>
      </w:r>
    </w:p>
    <w:p>
      <w:pPr>
        <w:widowControl/>
        <w:spacing w:line="600" w:lineRule="exact"/>
        <w:ind w:firstLine="624" w:firstLineChars="196"/>
        <w:jc w:val="left"/>
        <w:rPr>
          <w:rFonts w:eastAsia="黑体"/>
          <w:bCs/>
          <w:kern w:val="0"/>
          <w:sz w:val="32"/>
          <w:szCs w:val="32"/>
        </w:rPr>
      </w:pPr>
      <w:r>
        <w:rPr>
          <w:rFonts w:eastAsia="黑体"/>
          <w:bCs/>
          <w:kern w:val="0"/>
          <w:sz w:val="32"/>
          <w:szCs w:val="32"/>
        </w:rPr>
        <w:t>三、部门收支总体情况</w:t>
      </w:r>
    </w:p>
    <w:p>
      <w:pPr>
        <w:widowControl/>
        <w:spacing w:line="600" w:lineRule="exact"/>
        <w:ind w:firstLine="624" w:firstLineChars="196"/>
        <w:jc w:val="left"/>
        <w:rPr>
          <w:rFonts w:hint="eastAsia" w:eastAsia="仿宋_GB2312"/>
          <w:sz w:val="32"/>
          <w:szCs w:val="32"/>
        </w:rPr>
      </w:pPr>
      <w:r>
        <w:rPr>
          <w:rFonts w:hint="eastAsia" w:eastAsia="仿宋_GB2312"/>
          <w:sz w:val="32"/>
          <w:szCs w:val="32"/>
          <w:lang w:eastAsia="zh-CN"/>
        </w:rPr>
        <w:t>2022年</w:t>
      </w:r>
      <w:r>
        <w:rPr>
          <w:rFonts w:eastAsia="仿宋_GB2312"/>
          <w:sz w:val="32"/>
          <w:szCs w:val="32"/>
        </w:rPr>
        <w:t>部门预算</w:t>
      </w:r>
      <w:r>
        <w:rPr>
          <w:rFonts w:hint="eastAsia" w:eastAsia="仿宋_GB2312"/>
          <w:sz w:val="32"/>
          <w:szCs w:val="32"/>
        </w:rPr>
        <w:t>即我</w:t>
      </w:r>
      <w:r>
        <w:rPr>
          <w:rFonts w:hint="eastAsia" w:eastAsia="仿宋_GB2312"/>
          <w:sz w:val="32"/>
          <w:szCs w:val="32"/>
          <w:lang w:val="en-US" w:eastAsia="zh-CN"/>
        </w:rPr>
        <w:t>单位</w:t>
      </w:r>
      <w:r>
        <w:rPr>
          <w:rFonts w:eastAsia="仿宋_GB2312"/>
          <w:sz w:val="32"/>
          <w:szCs w:val="32"/>
        </w:rPr>
        <w:t>本级预算。</w:t>
      </w:r>
      <w:r>
        <w:rPr>
          <w:rFonts w:hint="eastAsia" w:eastAsia="仿宋_GB2312"/>
          <w:sz w:val="32"/>
          <w:szCs w:val="32"/>
          <w:lang w:eastAsia="zh-CN"/>
        </w:rPr>
        <w:t>我单位2022年</w:t>
      </w:r>
      <w:r>
        <w:rPr>
          <w:rFonts w:hint="eastAsia" w:eastAsia="仿宋_GB2312"/>
          <w:sz w:val="32"/>
          <w:szCs w:val="32"/>
        </w:rPr>
        <w:t>没有政府性基金预算拨款、国有资本经营预算收入和纳入专户管理的非税收入拨款收入，也没有使用政府性基金预算拨款、国有资本经营预算收入和纳入专户管理的非税收入拨款安排的支出，所以公开的附件</w:t>
      </w:r>
      <w:r>
        <w:rPr>
          <w:rFonts w:hint="eastAsia" w:eastAsia="仿宋_GB2312"/>
          <w:sz w:val="32"/>
          <w:szCs w:val="32"/>
          <w:lang w:val="en-US" w:eastAsia="zh-CN"/>
        </w:rPr>
        <w:t>中</w:t>
      </w:r>
      <w:r>
        <w:rPr>
          <w:rFonts w:hint="eastAsia" w:eastAsia="仿宋_GB2312"/>
          <w:sz w:val="32"/>
          <w:szCs w:val="32"/>
        </w:rPr>
        <w:t>政府性基金预算支出表均为空。</w:t>
      </w:r>
      <w:r>
        <w:rPr>
          <w:rFonts w:eastAsia="仿宋_GB2312"/>
          <w:sz w:val="32"/>
          <w:szCs w:val="32"/>
        </w:rPr>
        <w:t>收入</w:t>
      </w:r>
      <w:r>
        <w:rPr>
          <w:rFonts w:hint="eastAsia" w:eastAsia="仿宋_GB2312"/>
          <w:sz w:val="32"/>
          <w:szCs w:val="32"/>
          <w:lang w:val="en-US" w:eastAsia="zh-CN"/>
        </w:rPr>
        <w:t>只</w:t>
      </w:r>
      <w:r>
        <w:rPr>
          <w:rFonts w:eastAsia="仿宋_GB2312"/>
          <w:sz w:val="32"/>
          <w:szCs w:val="32"/>
        </w:rPr>
        <w:t>包括</w:t>
      </w:r>
      <w:r>
        <w:rPr>
          <w:rFonts w:hint="eastAsia" w:eastAsia="仿宋_GB2312"/>
          <w:sz w:val="32"/>
          <w:szCs w:val="32"/>
        </w:rPr>
        <w:t>经费拨款；</w:t>
      </w:r>
      <w:r>
        <w:rPr>
          <w:rFonts w:eastAsia="仿宋_GB2312"/>
          <w:sz w:val="32"/>
          <w:szCs w:val="32"/>
        </w:rPr>
        <w:t>支出包括保障机关及厅</w:t>
      </w:r>
      <w:r>
        <w:rPr>
          <w:rFonts w:hint="eastAsia" w:eastAsia="仿宋_GB2312"/>
          <w:sz w:val="32"/>
          <w:szCs w:val="32"/>
          <w:lang w:val="en-US" w:eastAsia="zh-CN"/>
        </w:rPr>
        <w:t>所</w:t>
      </w:r>
      <w:r>
        <w:rPr>
          <w:rFonts w:eastAsia="仿宋_GB2312"/>
          <w:sz w:val="32"/>
          <w:szCs w:val="32"/>
        </w:rPr>
        <w:t>事业单位基本运行的经费，也包括</w:t>
      </w:r>
      <w:r>
        <w:rPr>
          <w:rFonts w:hint="eastAsia" w:eastAsia="仿宋_GB2312"/>
          <w:sz w:val="32"/>
          <w:szCs w:val="32"/>
          <w:lang w:val="en-US" w:eastAsia="zh-CN"/>
        </w:rPr>
        <w:t>人大调研视察、监督执法、常务会议及预算联网监督运行</w:t>
      </w:r>
      <w:r>
        <w:rPr>
          <w:rFonts w:hint="eastAsia" w:eastAsia="仿宋_GB2312"/>
          <w:sz w:val="32"/>
          <w:szCs w:val="32"/>
        </w:rPr>
        <w:t>等业务工作经费。</w:t>
      </w:r>
    </w:p>
    <w:p>
      <w:pPr>
        <w:widowControl/>
        <w:spacing w:line="600" w:lineRule="exact"/>
        <w:ind w:firstLine="624" w:firstLineChars="196"/>
        <w:rPr>
          <w:rFonts w:eastAsia="楷体_GB2312"/>
          <w:b/>
          <w:sz w:val="32"/>
          <w:szCs w:val="32"/>
        </w:rPr>
      </w:pPr>
    </w:p>
    <w:p>
      <w:pPr>
        <w:widowControl/>
        <w:numPr>
          <w:ilvl w:val="0"/>
          <w:numId w:val="2"/>
        </w:numPr>
        <w:spacing w:line="600" w:lineRule="exact"/>
        <w:ind w:firstLine="624" w:firstLineChars="196"/>
        <w:rPr>
          <w:rFonts w:hint="eastAsia" w:eastAsia="仿宋_GB2312"/>
          <w:sz w:val="32"/>
          <w:szCs w:val="32"/>
          <w:lang w:eastAsia="zh-CN"/>
        </w:rPr>
      </w:pPr>
      <w:r>
        <w:rPr>
          <w:rFonts w:eastAsia="楷体_GB2312"/>
          <w:b/>
          <w:sz w:val="32"/>
          <w:szCs w:val="32"/>
        </w:rPr>
        <w:t>收入预算：</w:t>
      </w:r>
      <w:r>
        <w:rPr>
          <w:rFonts w:hint="eastAsia" w:eastAsia="仿宋_GB2312"/>
          <w:sz w:val="32"/>
          <w:szCs w:val="32"/>
          <w:lang w:eastAsia="zh-CN"/>
        </w:rPr>
        <w:t>2021年单位预算收入717.14万元，其中：一般公共预算拨款717.14万元，纳入公共预算管理的非税拨款0万元，政府性基金拨款0万元，纳入专户管理的非税收入0万元，事业单位经营收入0万元，其他收入0万元。收入较去年增加</w:t>
      </w:r>
      <w:r>
        <w:rPr>
          <w:rFonts w:hint="eastAsia" w:eastAsia="仿宋_GB2312"/>
          <w:sz w:val="32"/>
          <w:szCs w:val="32"/>
          <w:lang w:val="en-US" w:eastAsia="zh-CN"/>
        </w:rPr>
        <w:t>136.50</w:t>
      </w:r>
      <w:r>
        <w:rPr>
          <w:rFonts w:hint="eastAsia" w:eastAsia="仿宋_GB2312"/>
          <w:sz w:val="32"/>
          <w:szCs w:val="32"/>
          <w:lang w:eastAsia="zh-CN"/>
        </w:rPr>
        <w:t>万元，主要是人员</w:t>
      </w:r>
      <w:r>
        <w:rPr>
          <w:rFonts w:hint="eastAsia" w:eastAsia="仿宋_GB2312"/>
          <w:sz w:val="32"/>
          <w:szCs w:val="32"/>
          <w:lang w:val="en-US" w:eastAsia="zh-CN"/>
        </w:rPr>
        <w:t>净增加10人</w:t>
      </w:r>
      <w:r>
        <w:rPr>
          <w:rFonts w:hint="eastAsia" w:eastAsia="仿宋_GB2312"/>
          <w:sz w:val="32"/>
          <w:szCs w:val="32"/>
          <w:lang w:eastAsia="zh-CN"/>
        </w:rPr>
        <w:t>。</w:t>
      </w:r>
    </w:p>
    <w:p>
      <w:pPr>
        <w:widowControl/>
        <w:spacing w:line="600" w:lineRule="exact"/>
        <w:ind w:firstLine="624" w:firstLineChars="196"/>
        <w:jc w:val="left"/>
        <w:rPr>
          <w:rFonts w:hint="eastAsia" w:eastAsia="仿宋_GB2312"/>
          <w:sz w:val="32"/>
          <w:szCs w:val="32"/>
        </w:rPr>
      </w:pPr>
      <w:r>
        <w:rPr>
          <w:rFonts w:eastAsia="楷体_GB2312"/>
          <w:b/>
          <w:sz w:val="32"/>
          <w:szCs w:val="32"/>
        </w:rPr>
        <w:t>（二）支出预算：</w:t>
      </w:r>
      <w:r>
        <w:rPr>
          <w:rFonts w:hint="eastAsia" w:eastAsia="仿宋_GB2312"/>
          <w:sz w:val="32"/>
          <w:szCs w:val="32"/>
          <w:lang w:eastAsia="zh-CN"/>
        </w:rPr>
        <w:t>2021年单位预算支出717.14万元，其中：一般公共服</w:t>
      </w:r>
      <w:r>
        <w:rPr>
          <w:rFonts w:hint="eastAsia" w:eastAsia="仿宋_GB2312"/>
          <w:sz w:val="32"/>
          <w:szCs w:val="32"/>
          <w:lang w:val="en-US" w:eastAsia="zh-CN"/>
        </w:rPr>
        <w:t>支出</w:t>
      </w:r>
      <w:r>
        <w:rPr>
          <w:rFonts w:hint="eastAsia" w:eastAsia="仿宋_GB2312"/>
          <w:sz w:val="32"/>
          <w:szCs w:val="32"/>
          <w:lang w:eastAsia="zh-CN"/>
        </w:rPr>
        <w:t>674.2</w:t>
      </w:r>
      <w:r>
        <w:rPr>
          <w:rFonts w:hint="eastAsia" w:eastAsia="仿宋_GB2312"/>
          <w:sz w:val="32"/>
          <w:szCs w:val="32"/>
          <w:lang w:val="en-US" w:eastAsia="zh-CN"/>
        </w:rPr>
        <w:t>5</w:t>
      </w:r>
      <w:r>
        <w:rPr>
          <w:rFonts w:hint="eastAsia" w:eastAsia="仿宋_GB2312"/>
          <w:sz w:val="32"/>
          <w:szCs w:val="32"/>
          <w:lang w:eastAsia="zh-CN"/>
        </w:rPr>
        <w:t>万元，住房保障</w:t>
      </w:r>
      <w:r>
        <w:rPr>
          <w:rFonts w:hint="eastAsia" w:eastAsia="仿宋_GB2312"/>
          <w:sz w:val="32"/>
          <w:szCs w:val="32"/>
          <w:lang w:val="en-US" w:eastAsia="zh-CN"/>
        </w:rPr>
        <w:t>支出</w:t>
      </w:r>
      <w:r>
        <w:rPr>
          <w:rFonts w:hint="eastAsia" w:eastAsia="仿宋_GB2312"/>
          <w:sz w:val="32"/>
          <w:szCs w:val="32"/>
          <w:lang w:eastAsia="zh-CN"/>
        </w:rPr>
        <w:t>42.89万元。</w:t>
      </w:r>
      <w:r>
        <w:rPr>
          <w:rFonts w:hint="eastAsia" w:eastAsia="仿宋_GB2312"/>
          <w:sz w:val="32"/>
          <w:szCs w:val="32"/>
          <w:lang w:val="en-US" w:eastAsia="zh-CN"/>
        </w:rPr>
        <w:t>支出</w:t>
      </w:r>
      <w:r>
        <w:rPr>
          <w:rFonts w:hint="eastAsia" w:eastAsia="仿宋_GB2312"/>
          <w:sz w:val="32"/>
          <w:szCs w:val="32"/>
          <w:lang w:eastAsia="zh-CN"/>
        </w:rPr>
        <w:t>较去年增加</w:t>
      </w:r>
      <w:r>
        <w:rPr>
          <w:rFonts w:hint="eastAsia" w:eastAsia="仿宋_GB2312"/>
          <w:sz w:val="32"/>
          <w:szCs w:val="32"/>
          <w:lang w:val="en-US" w:eastAsia="zh-CN"/>
        </w:rPr>
        <w:t>136.50</w:t>
      </w:r>
      <w:r>
        <w:rPr>
          <w:rFonts w:hint="eastAsia" w:eastAsia="仿宋_GB2312"/>
          <w:sz w:val="32"/>
          <w:szCs w:val="32"/>
          <w:lang w:eastAsia="zh-CN"/>
        </w:rPr>
        <w:t>万元，其中基本支出增加</w:t>
      </w:r>
      <w:r>
        <w:rPr>
          <w:rFonts w:hint="eastAsia" w:eastAsia="仿宋_GB2312"/>
          <w:sz w:val="32"/>
          <w:szCs w:val="32"/>
          <w:lang w:val="en-US" w:eastAsia="zh-CN"/>
        </w:rPr>
        <w:t>136.50</w:t>
      </w:r>
      <w:r>
        <w:rPr>
          <w:rFonts w:hint="eastAsia" w:eastAsia="仿宋_GB2312"/>
          <w:sz w:val="32"/>
          <w:szCs w:val="32"/>
          <w:lang w:eastAsia="zh-CN"/>
        </w:rPr>
        <w:t>万元，项目支出无变动。主要是人员</w:t>
      </w:r>
      <w:r>
        <w:rPr>
          <w:rFonts w:hint="eastAsia" w:eastAsia="仿宋_GB2312"/>
          <w:sz w:val="32"/>
          <w:szCs w:val="32"/>
          <w:lang w:val="en-US" w:eastAsia="zh-CN"/>
        </w:rPr>
        <w:t>较去年增加10人</w:t>
      </w:r>
      <w:r>
        <w:rPr>
          <w:rFonts w:hint="eastAsia" w:eastAsia="仿宋_GB2312"/>
          <w:sz w:val="32"/>
          <w:szCs w:val="32"/>
        </w:rPr>
        <w:t>。</w:t>
      </w:r>
    </w:p>
    <w:p>
      <w:pPr>
        <w:widowControl/>
        <w:spacing w:line="600" w:lineRule="exact"/>
        <w:ind w:firstLine="624" w:firstLineChars="196"/>
        <w:jc w:val="left"/>
        <w:rPr>
          <w:rFonts w:eastAsia="仿宋_GB2312"/>
          <w:sz w:val="32"/>
          <w:szCs w:val="32"/>
        </w:rPr>
      </w:pPr>
      <w:r>
        <w:rPr>
          <w:rFonts w:hint="eastAsia" w:eastAsia="仿宋_GB2312"/>
          <w:sz w:val="32"/>
          <w:szCs w:val="32"/>
        </w:rPr>
        <w:t>其中基本支出较上年</w:t>
      </w:r>
      <w:r>
        <w:rPr>
          <w:rFonts w:hint="eastAsia" w:eastAsia="仿宋_GB2312"/>
          <w:sz w:val="32"/>
          <w:szCs w:val="32"/>
          <w:lang w:val="en-US" w:eastAsia="zh-CN"/>
        </w:rPr>
        <w:t>增加</w:t>
      </w:r>
      <w:r>
        <w:rPr>
          <w:rFonts w:hint="eastAsia" w:eastAsia="仿宋_GB2312"/>
          <w:sz w:val="32"/>
          <w:szCs w:val="32"/>
        </w:rPr>
        <w:t>主要是由于</w:t>
      </w:r>
      <w:r>
        <w:rPr>
          <w:rFonts w:hint="eastAsia" w:eastAsia="仿宋_GB2312"/>
          <w:sz w:val="32"/>
          <w:szCs w:val="32"/>
          <w:lang w:eastAsia="zh-CN"/>
        </w:rPr>
        <w:t>我单位</w:t>
      </w:r>
      <w:r>
        <w:rPr>
          <w:rFonts w:hint="eastAsia" w:eastAsia="仿宋_GB2312"/>
          <w:sz w:val="32"/>
          <w:szCs w:val="32"/>
        </w:rPr>
        <w:t>实有人数较上年有所</w:t>
      </w:r>
      <w:r>
        <w:rPr>
          <w:rFonts w:hint="eastAsia" w:eastAsia="仿宋_GB2312"/>
          <w:sz w:val="32"/>
          <w:szCs w:val="32"/>
          <w:lang w:val="en-US" w:eastAsia="zh-CN"/>
        </w:rPr>
        <w:t>增加</w:t>
      </w:r>
      <w:r>
        <w:rPr>
          <w:rFonts w:hint="eastAsia" w:eastAsia="仿宋_GB2312"/>
          <w:sz w:val="32"/>
          <w:szCs w:val="32"/>
        </w:rPr>
        <w:t>，项目支出</w:t>
      </w:r>
      <w:r>
        <w:rPr>
          <w:rFonts w:hint="eastAsia" w:eastAsia="仿宋_GB2312"/>
          <w:sz w:val="32"/>
          <w:szCs w:val="32"/>
          <w:lang w:eastAsia="zh-CN"/>
        </w:rPr>
        <w:t>无变动</w:t>
      </w:r>
      <w:r>
        <w:rPr>
          <w:rFonts w:hint="eastAsia" w:eastAsia="仿宋_GB2312"/>
          <w:sz w:val="32"/>
          <w:szCs w:val="32"/>
        </w:rPr>
        <w:t>。</w:t>
      </w:r>
    </w:p>
    <w:p>
      <w:pPr>
        <w:widowControl/>
        <w:spacing w:line="600" w:lineRule="exact"/>
        <w:ind w:firstLine="660"/>
        <w:jc w:val="left"/>
        <w:rPr>
          <w:rFonts w:eastAsia="黑体"/>
          <w:sz w:val="32"/>
          <w:szCs w:val="32"/>
        </w:rPr>
      </w:pPr>
      <w:r>
        <w:rPr>
          <w:rFonts w:eastAsia="黑体"/>
          <w:sz w:val="32"/>
          <w:szCs w:val="32"/>
        </w:rPr>
        <w:t>四、一般公共预算拨款支出</w:t>
      </w:r>
    </w:p>
    <w:p>
      <w:pPr>
        <w:widowControl/>
        <w:spacing w:line="600" w:lineRule="exact"/>
        <w:ind w:firstLine="660"/>
        <w:jc w:val="left"/>
        <w:rPr>
          <w:rFonts w:eastAsia="黑体"/>
          <w:sz w:val="32"/>
          <w:szCs w:val="32"/>
        </w:rPr>
      </w:pPr>
      <w:r>
        <w:rPr>
          <w:rFonts w:hint="eastAsia" w:eastAsia="仿宋_GB2312"/>
          <w:sz w:val="32"/>
          <w:szCs w:val="32"/>
          <w:lang w:eastAsia="zh-CN"/>
        </w:rPr>
        <w:t>2022年</w:t>
      </w:r>
      <w:r>
        <w:rPr>
          <w:rFonts w:eastAsia="仿宋_GB2312"/>
          <w:sz w:val="32"/>
          <w:szCs w:val="32"/>
        </w:rPr>
        <w:t>本部门一般公共预算拨款支出预算</w:t>
      </w:r>
      <w:r>
        <w:rPr>
          <w:rFonts w:hint="eastAsia" w:eastAsia="仿宋_GB2312"/>
          <w:sz w:val="32"/>
          <w:szCs w:val="32"/>
          <w:lang w:eastAsia="zh-CN"/>
        </w:rPr>
        <w:t>717.14</w:t>
      </w:r>
      <w:r>
        <w:rPr>
          <w:rFonts w:eastAsia="仿宋_GB2312"/>
          <w:sz w:val="32"/>
          <w:szCs w:val="32"/>
        </w:rPr>
        <w:t>万元，其中，一般公共服务支出</w:t>
      </w:r>
      <w:r>
        <w:rPr>
          <w:rFonts w:hint="eastAsia" w:eastAsia="仿宋_GB2312"/>
          <w:sz w:val="32"/>
          <w:szCs w:val="32"/>
          <w:lang w:eastAsia="zh-CN"/>
        </w:rPr>
        <w:t>674.2</w:t>
      </w:r>
      <w:r>
        <w:rPr>
          <w:rFonts w:hint="eastAsia" w:eastAsia="仿宋_GB2312"/>
          <w:sz w:val="32"/>
          <w:szCs w:val="32"/>
          <w:lang w:val="en-US" w:eastAsia="zh-CN"/>
        </w:rPr>
        <w:t>5</w:t>
      </w:r>
      <w:r>
        <w:rPr>
          <w:rFonts w:eastAsia="仿宋_GB2312"/>
          <w:sz w:val="32"/>
          <w:szCs w:val="32"/>
        </w:rPr>
        <w:t>万元，占</w:t>
      </w:r>
      <w:r>
        <w:rPr>
          <w:rFonts w:hint="eastAsia" w:eastAsia="仿宋_GB2312"/>
          <w:sz w:val="32"/>
          <w:szCs w:val="32"/>
        </w:rPr>
        <w:t>94.02%</w:t>
      </w:r>
      <w:r>
        <w:rPr>
          <w:rFonts w:eastAsia="仿宋_GB2312"/>
          <w:sz w:val="32"/>
          <w:szCs w:val="32"/>
        </w:rPr>
        <w:t>；</w:t>
      </w:r>
      <w:r>
        <w:rPr>
          <w:rFonts w:hint="eastAsia" w:eastAsia="仿宋_GB2312"/>
          <w:sz w:val="32"/>
          <w:szCs w:val="32"/>
        </w:rPr>
        <w:t>住房保障</w:t>
      </w:r>
      <w:r>
        <w:rPr>
          <w:rFonts w:hint="eastAsia" w:eastAsia="仿宋_GB2312"/>
          <w:sz w:val="32"/>
          <w:szCs w:val="32"/>
          <w:lang w:eastAsia="zh-CN"/>
        </w:rPr>
        <w:t>42.89</w:t>
      </w:r>
      <w:r>
        <w:rPr>
          <w:rFonts w:hint="eastAsia" w:eastAsia="仿宋_GB2312"/>
          <w:sz w:val="32"/>
          <w:szCs w:val="32"/>
        </w:rPr>
        <w:t>万元，</w:t>
      </w:r>
      <w:r>
        <w:rPr>
          <w:rFonts w:eastAsia="仿宋_GB2312"/>
          <w:sz w:val="32"/>
          <w:szCs w:val="32"/>
        </w:rPr>
        <w:t>占</w:t>
      </w:r>
      <w:r>
        <w:rPr>
          <w:rFonts w:hint="eastAsia" w:eastAsia="仿宋_GB2312"/>
          <w:sz w:val="32"/>
          <w:szCs w:val="32"/>
        </w:rPr>
        <w:t>5.98%</w:t>
      </w:r>
      <w:r>
        <w:rPr>
          <w:rFonts w:eastAsia="仿宋_GB2312"/>
          <w:sz w:val="32"/>
          <w:szCs w:val="32"/>
        </w:rPr>
        <w:t>。具体安排情况如下：</w:t>
      </w:r>
    </w:p>
    <w:p>
      <w:pPr>
        <w:widowControl/>
        <w:spacing w:line="600" w:lineRule="exact"/>
        <w:ind w:firstLine="660"/>
        <w:jc w:val="left"/>
        <w:rPr>
          <w:rFonts w:eastAsia="黑体"/>
          <w:sz w:val="32"/>
          <w:szCs w:val="32"/>
        </w:rPr>
      </w:pPr>
      <w:r>
        <w:rPr>
          <w:rFonts w:eastAsia="楷体_GB2312"/>
          <w:b/>
          <w:sz w:val="32"/>
          <w:szCs w:val="32"/>
        </w:rPr>
        <w:t>（一）基本支出：</w:t>
      </w:r>
      <w:r>
        <w:rPr>
          <w:rFonts w:hint="eastAsia" w:eastAsia="仿宋_GB2312"/>
          <w:sz w:val="32"/>
          <w:szCs w:val="32"/>
          <w:lang w:eastAsia="zh-CN"/>
        </w:rPr>
        <w:t>2022年</w:t>
      </w:r>
      <w:r>
        <w:rPr>
          <w:rFonts w:eastAsia="仿宋_GB2312"/>
          <w:sz w:val="32"/>
          <w:szCs w:val="32"/>
        </w:rPr>
        <w:t>本部门基本支出预算数</w:t>
      </w:r>
      <w:r>
        <w:rPr>
          <w:rFonts w:hint="eastAsia" w:eastAsia="仿宋_GB2312"/>
          <w:sz w:val="32"/>
          <w:szCs w:val="32"/>
        </w:rPr>
        <w:t>561.14</w:t>
      </w:r>
      <w:r>
        <w:rPr>
          <w:rFonts w:eastAsia="仿宋_GB2312"/>
          <w:sz w:val="32"/>
          <w:szCs w:val="32"/>
        </w:rPr>
        <w:t>万元，主要是为保障部门正常运转、完成日常工作任务而发生的各项支出，包括用于基本工资、津贴补贴等人员经费以及办公费、印刷费、水电费、办公设备购置等公用经费。</w:t>
      </w:r>
    </w:p>
    <w:p>
      <w:pPr>
        <w:widowControl/>
        <w:spacing w:line="600" w:lineRule="exact"/>
        <w:ind w:firstLine="660"/>
        <w:jc w:val="left"/>
        <w:rPr>
          <w:rFonts w:hint="eastAsia" w:eastAsia="仿宋_GB2312"/>
          <w:sz w:val="32"/>
          <w:szCs w:val="32"/>
        </w:rPr>
      </w:pPr>
      <w:r>
        <w:rPr>
          <w:rFonts w:eastAsia="楷体_GB2312"/>
          <w:b/>
          <w:sz w:val="32"/>
          <w:szCs w:val="32"/>
        </w:rPr>
        <w:t>（二）项目支出：</w:t>
      </w:r>
      <w:r>
        <w:rPr>
          <w:rFonts w:hint="eastAsia" w:eastAsia="仿宋_GB2312"/>
          <w:sz w:val="32"/>
          <w:szCs w:val="32"/>
          <w:lang w:eastAsia="zh-CN"/>
        </w:rPr>
        <w:t>2022年</w:t>
      </w:r>
      <w:r>
        <w:rPr>
          <w:rFonts w:eastAsia="仿宋_GB2312"/>
          <w:sz w:val="32"/>
          <w:szCs w:val="32"/>
        </w:rPr>
        <w:t>本部门项目支出预算</w:t>
      </w:r>
      <w:r>
        <w:rPr>
          <w:rFonts w:hint="eastAsia" w:eastAsia="仿宋_GB2312"/>
          <w:sz w:val="32"/>
          <w:szCs w:val="32"/>
        </w:rPr>
        <w:t>156.00</w:t>
      </w:r>
      <w:r>
        <w:rPr>
          <w:rFonts w:eastAsia="仿宋_GB2312"/>
          <w:sz w:val="32"/>
          <w:szCs w:val="32"/>
        </w:rPr>
        <w:t>万元，主要是部门为完成特定行政工作任务或事业发展目标而发生的支出，包括</w:t>
      </w:r>
      <w:r>
        <w:rPr>
          <w:rFonts w:hint="eastAsia" w:eastAsia="仿宋_GB2312"/>
          <w:sz w:val="32"/>
          <w:szCs w:val="32"/>
        </w:rPr>
        <w:t>有关业务工作经费、运行维护经费、其他事业类发展资金、其他项目支出。其中：</w:t>
      </w:r>
      <w:r>
        <w:rPr>
          <w:rFonts w:hint="eastAsia" w:eastAsia="仿宋_GB2312"/>
          <w:sz w:val="32"/>
          <w:szCs w:val="32"/>
          <w:lang w:val="en-US" w:eastAsia="zh-CN"/>
        </w:rPr>
        <w:t>一般行政管理事务专项25万元，主要用于编印人大通讯及人大公报、扶贫、党建及老干部开展活动等中心工作支出；常委会会议及主任会议专项经费24万元，主要用于听取调研、视察、监督、检查等工作的汇报及审议有关事项；执法检查、监督项目支出50万元，用于重大事项目和用于民生及三大攻坚战等方面的监督检查；上级专题调研及视察经费和组织人大代表调研视察经费项目支出42万元，主要用于配合省、市二级的调研视察和检查以及组织人大代表对重大事项，重点工作开展视察调研；预算联网监督系统维护15万元，及时维护好系统，保证系统正常运转，有效开展在线监督工作。</w:t>
      </w:r>
    </w:p>
    <w:p>
      <w:pPr>
        <w:widowControl/>
        <w:spacing w:line="600" w:lineRule="exact"/>
        <w:ind w:firstLine="660"/>
        <w:jc w:val="left"/>
        <w:rPr>
          <w:rFonts w:eastAsia="黑体"/>
          <w:sz w:val="32"/>
          <w:szCs w:val="32"/>
        </w:rPr>
      </w:pPr>
      <w:r>
        <w:rPr>
          <w:rFonts w:hint="eastAsia" w:eastAsia="黑体"/>
          <w:sz w:val="32"/>
          <w:szCs w:val="32"/>
        </w:rPr>
        <w:t>五</w:t>
      </w:r>
      <w:r>
        <w:rPr>
          <w:rFonts w:eastAsia="黑体"/>
          <w:sz w:val="32"/>
          <w:szCs w:val="32"/>
        </w:rPr>
        <w:t>、其他重要事项的情况说明</w:t>
      </w:r>
    </w:p>
    <w:p>
      <w:pPr>
        <w:widowControl/>
        <w:spacing w:line="600" w:lineRule="exact"/>
        <w:ind w:firstLine="660"/>
        <w:jc w:val="left"/>
        <w:rPr>
          <w:rFonts w:eastAsia="仿宋_GB2312"/>
          <w:sz w:val="32"/>
          <w:szCs w:val="32"/>
        </w:rPr>
      </w:pPr>
      <w:r>
        <w:rPr>
          <w:rFonts w:eastAsia="楷体_GB2312"/>
          <w:b/>
          <w:sz w:val="32"/>
          <w:szCs w:val="32"/>
        </w:rPr>
        <w:t>（一）机关运行经费：</w:t>
      </w:r>
      <w:r>
        <w:rPr>
          <w:rFonts w:hint="eastAsia" w:eastAsia="仿宋_GB2312"/>
          <w:sz w:val="32"/>
          <w:szCs w:val="32"/>
          <w:lang w:eastAsia="zh-CN"/>
        </w:rPr>
        <w:t>2022年</w:t>
      </w:r>
      <w:r>
        <w:rPr>
          <w:rFonts w:eastAsia="仿宋_GB2312"/>
          <w:sz w:val="32"/>
          <w:szCs w:val="32"/>
        </w:rPr>
        <w:t>本部门机关本级的机关运行经费</w:t>
      </w:r>
      <w:r>
        <w:rPr>
          <w:rFonts w:hint="eastAsia" w:eastAsia="仿宋_GB2312"/>
          <w:sz w:val="32"/>
          <w:szCs w:val="32"/>
        </w:rPr>
        <w:t>561.14</w:t>
      </w:r>
      <w:r>
        <w:rPr>
          <w:rFonts w:eastAsia="仿宋_GB2312"/>
          <w:sz w:val="32"/>
          <w:szCs w:val="32"/>
        </w:rPr>
        <w:t>万元，比上年预算</w:t>
      </w:r>
      <w:r>
        <w:rPr>
          <w:rFonts w:hint="default" w:eastAsia="仿宋_GB2312"/>
          <w:sz w:val="32"/>
          <w:szCs w:val="32"/>
        </w:rPr>
        <w:t>增加</w:t>
      </w:r>
      <w:r>
        <w:rPr>
          <w:rFonts w:hint="eastAsia" w:eastAsia="仿宋_GB2312"/>
          <w:sz w:val="32"/>
          <w:szCs w:val="32"/>
          <w:lang w:val="en-US" w:eastAsia="zh-CN"/>
        </w:rPr>
        <w:t>136.50</w:t>
      </w:r>
      <w:r>
        <w:rPr>
          <w:rFonts w:eastAsia="仿宋_GB2312"/>
          <w:sz w:val="32"/>
          <w:szCs w:val="32"/>
        </w:rPr>
        <w:t>万元，</w:t>
      </w:r>
      <w:r>
        <w:rPr>
          <w:rFonts w:hint="eastAsia" w:eastAsia="仿宋_GB2312"/>
          <w:sz w:val="32"/>
          <w:szCs w:val="32"/>
          <w:lang w:val="en-US" w:eastAsia="zh-CN"/>
        </w:rPr>
        <w:t>增加</w:t>
      </w:r>
      <w:r>
        <w:rPr>
          <w:rFonts w:hint="default" w:eastAsia="仿宋_GB2312"/>
          <w:sz w:val="32"/>
          <w:szCs w:val="32"/>
          <w:lang w:eastAsia="zh-CN"/>
        </w:rPr>
        <w:t>32.14</w:t>
      </w:r>
      <w:r>
        <w:rPr>
          <w:rFonts w:eastAsia="仿宋_GB2312"/>
          <w:sz w:val="32"/>
          <w:szCs w:val="32"/>
        </w:rPr>
        <w:t>%，主要是</w:t>
      </w:r>
      <w:r>
        <w:rPr>
          <w:rFonts w:hint="eastAsia" w:eastAsia="仿宋_GB2312"/>
          <w:sz w:val="32"/>
          <w:szCs w:val="32"/>
          <w:lang w:val="en-US" w:eastAsia="zh-CN"/>
        </w:rPr>
        <w:t>我单位</w:t>
      </w:r>
      <w:r>
        <w:rPr>
          <w:rFonts w:hint="eastAsia" w:eastAsia="仿宋_GB2312"/>
          <w:sz w:val="32"/>
          <w:szCs w:val="32"/>
          <w:lang w:eastAsia="zh-CN"/>
        </w:rPr>
        <w:t>人员</w:t>
      </w:r>
      <w:r>
        <w:rPr>
          <w:rFonts w:hint="eastAsia" w:eastAsia="仿宋_GB2312"/>
          <w:sz w:val="32"/>
          <w:szCs w:val="32"/>
          <w:lang w:val="en-US" w:eastAsia="zh-CN"/>
        </w:rPr>
        <w:t>净增加10人</w:t>
      </w:r>
      <w:r>
        <w:rPr>
          <w:rFonts w:eastAsia="仿宋_GB2312"/>
          <w:sz w:val="32"/>
          <w:szCs w:val="32"/>
        </w:rPr>
        <w:t>。</w:t>
      </w:r>
    </w:p>
    <w:p>
      <w:pPr>
        <w:widowControl/>
        <w:spacing w:line="600" w:lineRule="exact"/>
        <w:ind w:firstLine="660"/>
        <w:rPr>
          <w:rFonts w:eastAsia="仿宋_GB2312"/>
          <w:sz w:val="32"/>
          <w:szCs w:val="32"/>
        </w:rPr>
      </w:pPr>
      <w:r>
        <w:rPr>
          <w:rFonts w:eastAsia="楷体_GB2312"/>
          <w:b/>
          <w:sz w:val="32"/>
          <w:szCs w:val="32"/>
        </w:rPr>
        <w:t>（二）“三公”经费预算：</w:t>
      </w:r>
      <w:r>
        <w:rPr>
          <w:rFonts w:hint="eastAsia" w:eastAsia="仿宋_GB2312"/>
          <w:sz w:val="32"/>
          <w:szCs w:val="32"/>
          <w:lang w:eastAsia="zh-CN"/>
        </w:rPr>
        <w:t>2022年</w:t>
      </w:r>
      <w:r>
        <w:rPr>
          <w:rFonts w:eastAsia="仿宋_GB2312"/>
          <w:sz w:val="32"/>
          <w:szCs w:val="32"/>
        </w:rPr>
        <w:t>本部门机关本级“三公”经费预算数为</w:t>
      </w:r>
      <w:r>
        <w:rPr>
          <w:rFonts w:hint="eastAsia" w:eastAsia="仿宋_GB2312"/>
          <w:sz w:val="32"/>
          <w:szCs w:val="32"/>
          <w:lang w:val="en-US" w:eastAsia="zh-CN"/>
        </w:rPr>
        <w:t>2</w:t>
      </w:r>
      <w:r>
        <w:rPr>
          <w:rFonts w:eastAsia="仿宋_GB2312"/>
          <w:sz w:val="32"/>
          <w:szCs w:val="32"/>
        </w:rPr>
        <w:t>万元，其中，公务接待费</w:t>
      </w:r>
      <w:r>
        <w:rPr>
          <w:rFonts w:hint="eastAsia" w:eastAsia="仿宋_GB2312"/>
          <w:sz w:val="32"/>
          <w:szCs w:val="32"/>
          <w:lang w:val="en-US" w:eastAsia="zh-CN"/>
        </w:rPr>
        <w:t>2</w:t>
      </w:r>
      <w:r>
        <w:rPr>
          <w:rFonts w:eastAsia="仿宋_GB2312"/>
          <w:sz w:val="32"/>
          <w:szCs w:val="32"/>
        </w:rPr>
        <w:t>万元，公务用车购置及运行费</w:t>
      </w:r>
      <w:r>
        <w:rPr>
          <w:rFonts w:hint="eastAsia" w:eastAsia="仿宋_GB2312"/>
          <w:sz w:val="32"/>
          <w:szCs w:val="32"/>
          <w:lang w:val="en-US" w:eastAsia="zh-CN"/>
        </w:rPr>
        <w:t>0</w:t>
      </w:r>
      <w:r>
        <w:rPr>
          <w:rFonts w:eastAsia="仿宋_GB2312"/>
          <w:sz w:val="32"/>
          <w:szCs w:val="32"/>
        </w:rPr>
        <w:t>万元，因公出国（境）费</w:t>
      </w:r>
      <w:r>
        <w:rPr>
          <w:rFonts w:hint="eastAsia" w:eastAsia="仿宋_GB2312"/>
          <w:sz w:val="32"/>
          <w:szCs w:val="32"/>
          <w:lang w:val="en-US" w:eastAsia="zh-CN"/>
        </w:rPr>
        <w:t>0</w:t>
      </w:r>
      <w:r>
        <w:rPr>
          <w:rFonts w:eastAsia="仿宋_GB2312"/>
          <w:sz w:val="32"/>
          <w:szCs w:val="32"/>
        </w:rPr>
        <w:t>万元。</w:t>
      </w:r>
      <w:r>
        <w:rPr>
          <w:rFonts w:hint="eastAsia" w:eastAsia="仿宋_GB2312"/>
          <w:sz w:val="32"/>
          <w:szCs w:val="32"/>
          <w:lang w:eastAsia="zh-CN"/>
        </w:rPr>
        <w:t>2022年</w:t>
      </w:r>
      <w:r>
        <w:rPr>
          <w:rFonts w:eastAsia="仿宋_GB2312"/>
          <w:sz w:val="32"/>
          <w:szCs w:val="32"/>
        </w:rPr>
        <w:t>“三公”经费预算较202</w:t>
      </w:r>
      <w:r>
        <w:rPr>
          <w:rFonts w:hint="eastAsia" w:eastAsia="仿宋_GB2312"/>
          <w:sz w:val="32"/>
          <w:szCs w:val="32"/>
          <w:lang w:val="en-US" w:eastAsia="zh-CN"/>
        </w:rPr>
        <w:t>1</w:t>
      </w:r>
      <w:r>
        <w:rPr>
          <w:rFonts w:eastAsia="仿宋_GB2312"/>
          <w:sz w:val="32"/>
          <w:szCs w:val="32"/>
        </w:rPr>
        <w:t>年持平。</w:t>
      </w:r>
    </w:p>
    <w:p>
      <w:pPr>
        <w:spacing w:line="600" w:lineRule="exact"/>
        <w:ind w:firstLine="636" w:firstLineChars="200"/>
        <w:rPr>
          <w:rFonts w:hint="eastAsia" w:eastAsia="仿宋_GB2312"/>
          <w:b/>
          <w:sz w:val="32"/>
          <w:szCs w:val="32"/>
        </w:rPr>
      </w:pPr>
      <w:r>
        <w:rPr>
          <w:rFonts w:eastAsia="楷体_GB2312"/>
          <w:b/>
          <w:sz w:val="32"/>
          <w:szCs w:val="32"/>
        </w:rPr>
        <w:t>（三）一般性支出情况：</w:t>
      </w:r>
      <w:r>
        <w:rPr>
          <w:rFonts w:hint="eastAsia" w:eastAsia="仿宋_GB2312"/>
          <w:kern w:val="0"/>
          <w:sz w:val="32"/>
          <w:szCs w:val="32"/>
          <w:lang w:eastAsia="zh-CN"/>
        </w:rPr>
        <w:t>2021年本部门会议费预算3万元，用于本单位参加上级人大常委会机关</w:t>
      </w:r>
      <w:bookmarkStart w:id="0" w:name="_GoBack"/>
      <w:bookmarkEnd w:id="0"/>
      <w:r>
        <w:rPr>
          <w:rFonts w:hint="eastAsia" w:eastAsia="仿宋_GB2312"/>
          <w:kern w:val="0"/>
          <w:sz w:val="32"/>
          <w:szCs w:val="32"/>
          <w:lang w:eastAsia="zh-CN"/>
        </w:rPr>
        <w:t>召开会议发生的费用以及本单位召开相关会议发生的费用；培训费预算2万元，用于人大常委会机关参加相关培训发生的费用、召开的人民代表履职培训的相关费用以及事业单位工作人员继续教育培训等费用；未计划举办节庆、晚会、论坛、赛事活动。</w:t>
      </w:r>
    </w:p>
    <w:p>
      <w:pPr>
        <w:widowControl/>
        <w:spacing w:line="600" w:lineRule="exact"/>
        <w:ind w:firstLine="660"/>
        <w:rPr>
          <w:rFonts w:eastAsia="仿宋_GB2312"/>
          <w:sz w:val="32"/>
          <w:szCs w:val="32"/>
        </w:rPr>
      </w:pPr>
      <w:r>
        <w:rPr>
          <w:rFonts w:eastAsia="楷体_GB2312"/>
          <w:b/>
          <w:sz w:val="32"/>
          <w:szCs w:val="32"/>
        </w:rPr>
        <w:t>（四）政府采购情况：</w:t>
      </w:r>
      <w:r>
        <w:rPr>
          <w:rFonts w:hint="eastAsia" w:eastAsia="仿宋_GB2312"/>
          <w:sz w:val="32"/>
          <w:szCs w:val="32"/>
          <w:lang w:eastAsia="zh-CN"/>
        </w:rPr>
        <w:t>2022年</w:t>
      </w:r>
      <w:r>
        <w:rPr>
          <w:rFonts w:eastAsia="仿宋_GB2312"/>
          <w:sz w:val="32"/>
          <w:szCs w:val="32"/>
        </w:rPr>
        <w:t>本部门政府采购预算总额</w:t>
      </w:r>
      <w:r>
        <w:rPr>
          <w:rFonts w:hint="eastAsia" w:eastAsia="仿宋_GB2312"/>
          <w:sz w:val="32"/>
          <w:szCs w:val="32"/>
          <w:lang w:val="en-US" w:eastAsia="zh-CN"/>
        </w:rPr>
        <w:t>0</w:t>
      </w:r>
      <w:r>
        <w:rPr>
          <w:rFonts w:eastAsia="仿宋_GB2312"/>
          <w:sz w:val="32"/>
          <w:szCs w:val="32"/>
        </w:rPr>
        <w:t>万元，其中，货物类采购预算</w:t>
      </w:r>
      <w:r>
        <w:rPr>
          <w:rFonts w:hint="eastAsia" w:eastAsia="仿宋_GB2312"/>
          <w:sz w:val="32"/>
          <w:szCs w:val="32"/>
        </w:rPr>
        <w:t>0</w:t>
      </w:r>
      <w:r>
        <w:rPr>
          <w:rFonts w:eastAsia="仿宋_GB2312"/>
          <w:sz w:val="32"/>
          <w:szCs w:val="32"/>
        </w:rPr>
        <w:t>万元；工程类采购预算</w:t>
      </w:r>
      <w:r>
        <w:rPr>
          <w:rFonts w:hint="eastAsia" w:eastAsia="仿宋_GB2312"/>
          <w:sz w:val="32"/>
          <w:szCs w:val="32"/>
        </w:rPr>
        <w:t>0</w:t>
      </w:r>
      <w:r>
        <w:rPr>
          <w:rFonts w:eastAsia="仿宋_GB2312"/>
          <w:sz w:val="32"/>
          <w:szCs w:val="32"/>
        </w:rPr>
        <w:t>万元；服务类采购预算</w:t>
      </w:r>
      <w:r>
        <w:rPr>
          <w:rFonts w:hint="eastAsia" w:eastAsia="仿宋_GB2312"/>
          <w:sz w:val="32"/>
          <w:szCs w:val="32"/>
          <w:lang w:val="en-US" w:eastAsia="zh-CN"/>
        </w:rPr>
        <w:t>0</w:t>
      </w:r>
      <w:r>
        <w:rPr>
          <w:rFonts w:eastAsia="仿宋_GB2312"/>
          <w:sz w:val="32"/>
          <w:szCs w:val="32"/>
        </w:rPr>
        <w:t>万元。</w:t>
      </w:r>
    </w:p>
    <w:p>
      <w:pPr>
        <w:widowControl/>
        <w:spacing w:line="600" w:lineRule="exact"/>
        <w:ind w:firstLine="660"/>
        <w:rPr>
          <w:rFonts w:eastAsia="仿宋_GB2312"/>
          <w:bCs/>
          <w:kern w:val="0"/>
          <w:sz w:val="32"/>
          <w:szCs w:val="32"/>
        </w:rPr>
      </w:pPr>
      <w:r>
        <w:rPr>
          <w:rFonts w:eastAsia="楷体_GB2312"/>
          <w:b/>
          <w:sz w:val="32"/>
          <w:szCs w:val="32"/>
        </w:rPr>
        <w:t>（五）国有资产占用使用及新增资产配置情况：</w:t>
      </w:r>
      <w:r>
        <w:rPr>
          <w:rFonts w:hint="eastAsia" w:eastAsia="仿宋_GB2312"/>
          <w:sz w:val="32"/>
          <w:szCs w:val="32"/>
        </w:rPr>
        <w:t>截止2020年12月30日，我单位共有车辆0辆，价值0万元；电脑</w:t>
      </w:r>
      <w:r>
        <w:rPr>
          <w:rFonts w:hint="eastAsia" w:eastAsia="仿宋_GB2312"/>
          <w:sz w:val="32"/>
          <w:szCs w:val="32"/>
          <w:lang w:val="en-US" w:eastAsia="zh-CN"/>
        </w:rPr>
        <w:t>54</w:t>
      </w:r>
      <w:r>
        <w:rPr>
          <w:rFonts w:hint="eastAsia" w:eastAsia="仿宋_GB2312"/>
          <w:sz w:val="32"/>
          <w:szCs w:val="32"/>
        </w:rPr>
        <w:t>台，价值</w:t>
      </w:r>
      <w:r>
        <w:rPr>
          <w:rFonts w:hint="eastAsia" w:eastAsia="仿宋_GB2312"/>
          <w:sz w:val="32"/>
          <w:szCs w:val="32"/>
          <w:lang w:val="en-US" w:eastAsia="zh-CN"/>
        </w:rPr>
        <w:t>27.88</w:t>
      </w:r>
      <w:r>
        <w:rPr>
          <w:rFonts w:hint="eastAsia" w:eastAsia="仿宋_GB2312"/>
          <w:sz w:val="32"/>
          <w:szCs w:val="32"/>
        </w:rPr>
        <w:t>万元；专用设备1台，价值45.19万元;无形资产29.8万元等等，资产总价值178</w:t>
      </w:r>
      <w:r>
        <w:rPr>
          <w:rFonts w:hint="eastAsia" w:eastAsia="仿宋_GB2312"/>
          <w:sz w:val="32"/>
          <w:szCs w:val="32"/>
          <w:lang w:val="en-US" w:eastAsia="zh-CN"/>
        </w:rPr>
        <w:t>.</w:t>
      </w:r>
      <w:r>
        <w:rPr>
          <w:rFonts w:hint="eastAsia" w:eastAsia="仿宋_GB2312"/>
          <w:sz w:val="32"/>
          <w:szCs w:val="32"/>
        </w:rPr>
        <w:t>86 万元。</w:t>
      </w:r>
    </w:p>
    <w:p>
      <w:pPr>
        <w:widowControl/>
        <w:spacing w:line="600" w:lineRule="exact"/>
        <w:ind w:firstLine="660"/>
        <w:jc w:val="left"/>
        <w:rPr>
          <w:rFonts w:eastAsia="仿宋_GB2312"/>
          <w:bCs/>
          <w:kern w:val="0"/>
          <w:sz w:val="32"/>
          <w:szCs w:val="32"/>
        </w:rPr>
      </w:pPr>
      <w:r>
        <w:rPr>
          <w:rFonts w:eastAsia="楷体_GB2312"/>
          <w:b/>
          <w:bCs/>
          <w:kern w:val="0"/>
          <w:sz w:val="32"/>
          <w:szCs w:val="32"/>
        </w:rPr>
        <w:t>（六）预算绩效目标说明：</w:t>
      </w:r>
      <w:r>
        <w:rPr>
          <w:rFonts w:eastAsia="仿宋_GB2312"/>
          <w:bCs/>
          <w:kern w:val="0"/>
          <w:sz w:val="32"/>
          <w:szCs w:val="32"/>
        </w:rPr>
        <w:t>本部门所有支出实行绩效目标管理。纳入</w:t>
      </w:r>
      <w:r>
        <w:rPr>
          <w:rFonts w:hint="eastAsia" w:eastAsia="仿宋_GB2312"/>
          <w:bCs/>
          <w:kern w:val="0"/>
          <w:sz w:val="32"/>
          <w:szCs w:val="32"/>
          <w:lang w:eastAsia="zh-CN"/>
        </w:rPr>
        <w:t>2022年</w:t>
      </w:r>
      <w:r>
        <w:rPr>
          <w:rFonts w:eastAsia="仿宋_GB2312"/>
          <w:bCs/>
          <w:kern w:val="0"/>
          <w:sz w:val="32"/>
          <w:szCs w:val="32"/>
        </w:rPr>
        <w:t>部门整体支出绩效目标的金额为</w:t>
      </w:r>
      <w:r>
        <w:rPr>
          <w:rFonts w:hint="eastAsia" w:eastAsia="仿宋_GB2312"/>
          <w:sz w:val="32"/>
          <w:szCs w:val="32"/>
          <w:lang w:val="en-US" w:eastAsia="zh-CN"/>
        </w:rPr>
        <w:t>717.14</w:t>
      </w:r>
      <w:r>
        <w:rPr>
          <w:rFonts w:eastAsia="仿宋_GB2312"/>
          <w:bCs/>
          <w:kern w:val="0"/>
          <w:sz w:val="32"/>
          <w:szCs w:val="32"/>
        </w:rPr>
        <w:t>万元，其中，基本支出</w:t>
      </w:r>
      <w:r>
        <w:rPr>
          <w:rFonts w:hint="eastAsia" w:eastAsia="仿宋_GB2312"/>
          <w:sz w:val="32"/>
          <w:szCs w:val="32"/>
        </w:rPr>
        <w:t>561.14</w:t>
      </w:r>
      <w:r>
        <w:rPr>
          <w:rFonts w:eastAsia="仿宋_GB2312"/>
          <w:bCs/>
          <w:kern w:val="0"/>
          <w:sz w:val="32"/>
          <w:szCs w:val="32"/>
        </w:rPr>
        <w:t>万元，项目支出</w:t>
      </w:r>
      <w:r>
        <w:rPr>
          <w:rFonts w:hint="eastAsia" w:eastAsia="仿宋_GB2312"/>
          <w:sz w:val="32"/>
          <w:szCs w:val="32"/>
          <w:lang w:val="en-US" w:eastAsia="zh-CN"/>
        </w:rPr>
        <w:t>156</w:t>
      </w:r>
      <w:r>
        <w:rPr>
          <w:rFonts w:eastAsia="仿宋_GB2312"/>
          <w:bCs/>
          <w:kern w:val="0"/>
          <w:sz w:val="32"/>
          <w:szCs w:val="32"/>
        </w:rPr>
        <w:t>万元，具体绩效目标详见报表。</w:t>
      </w:r>
    </w:p>
    <w:p>
      <w:pPr>
        <w:widowControl/>
        <w:spacing w:line="600" w:lineRule="exact"/>
        <w:ind w:firstLine="660"/>
        <w:rPr>
          <w:rFonts w:eastAsia="黑体"/>
          <w:sz w:val="32"/>
          <w:szCs w:val="32"/>
        </w:rPr>
      </w:pPr>
      <w:r>
        <w:rPr>
          <w:rFonts w:eastAsia="黑体"/>
          <w:sz w:val="32"/>
          <w:szCs w:val="32"/>
        </w:rPr>
        <w:t>七、名词解释</w:t>
      </w:r>
    </w:p>
    <w:p>
      <w:pPr>
        <w:widowControl/>
        <w:spacing w:line="600" w:lineRule="exact"/>
        <w:ind w:firstLine="660"/>
        <w:rPr>
          <w:rFonts w:eastAsia="仿宋_GB2312"/>
          <w:sz w:val="32"/>
          <w:szCs w:val="32"/>
        </w:rPr>
      </w:pPr>
      <w:r>
        <w:rPr>
          <w:rFonts w:eastAsia="仿宋_GB2312"/>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widowControl/>
        <w:spacing w:line="600" w:lineRule="exact"/>
        <w:ind w:firstLine="660"/>
        <w:rPr>
          <w:rFonts w:eastAsia="仿宋_GB2312"/>
          <w:sz w:val="32"/>
          <w:szCs w:val="32"/>
        </w:rPr>
      </w:pPr>
      <w:r>
        <w:rPr>
          <w:rFonts w:eastAsia="仿宋_GB2312"/>
          <w:sz w:val="32"/>
          <w:szCs w:val="32"/>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widowControl/>
        <w:spacing w:line="600" w:lineRule="exact"/>
        <w:ind w:firstLine="636" w:firstLineChars="200"/>
        <w:jc w:val="left"/>
        <w:rPr>
          <w:rFonts w:eastAsia="仿宋_GB2312"/>
          <w:b/>
          <w:bCs/>
          <w:kern w:val="0"/>
          <w:sz w:val="32"/>
          <w:szCs w:val="32"/>
        </w:rPr>
      </w:pPr>
    </w:p>
    <w:p>
      <w:pPr>
        <w:widowControl/>
        <w:spacing w:line="600" w:lineRule="exact"/>
        <w:ind w:firstLine="636" w:firstLineChars="200"/>
        <w:jc w:val="left"/>
        <w:rPr>
          <w:rFonts w:eastAsia="仿宋_GB2312"/>
          <w:b/>
          <w:bCs/>
          <w:kern w:val="0"/>
          <w:sz w:val="32"/>
          <w:szCs w:val="32"/>
        </w:rPr>
      </w:pPr>
    </w:p>
    <w:p>
      <w:pPr>
        <w:widowControl/>
        <w:spacing w:line="600" w:lineRule="exact"/>
        <w:ind w:firstLine="716" w:firstLineChars="200"/>
        <w:jc w:val="center"/>
        <w:rPr>
          <w:rFonts w:eastAsia="方正小标宋_GBK"/>
          <w:bCs/>
          <w:kern w:val="0"/>
          <w:sz w:val="36"/>
          <w:szCs w:val="36"/>
        </w:rPr>
      </w:pPr>
    </w:p>
    <w:p>
      <w:pPr>
        <w:widowControl/>
        <w:spacing w:line="600" w:lineRule="exact"/>
        <w:ind w:firstLine="716" w:firstLineChars="200"/>
        <w:jc w:val="center"/>
        <w:rPr>
          <w:rFonts w:eastAsia="方正小标宋_GBK"/>
          <w:bCs/>
          <w:kern w:val="0"/>
          <w:sz w:val="36"/>
          <w:szCs w:val="36"/>
        </w:rPr>
      </w:pPr>
    </w:p>
    <w:p>
      <w:pPr>
        <w:widowControl/>
        <w:spacing w:line="600" w:lineRule="exact"/>
        <w:ind w:firstLine="716" w:firstLineChars="200"/>
        <w:jc w:val="center"/>
        <w:rPr>
          <w:rFonts w:eastAsia="方正小标宋_GBK"/>
          <w:bCs/>
          <w:kern w:val="0"/>
          <w:sz w:val="36"/>
          <w:szCs w:val="36"/>
        </w:rPr>
      </w:pPr>
      <w:r>
        <w:rPr>
          <w:rFonts w:eastAsia="方正小标宋_GBK"/>
          <w:bCs/>
          <w:kern w:val="0"/>
          <w:sz w:val="36"/>
          <w:szCs w:val="36"/>
        </w:rPr>
        <w:t xml:space="preserve">第二部分 </w:t>
      </w:r>
      <w:r>
        <w:rPr>
          <w:rFonts w:hint="eastAsia" w:eastAsia="方正小标宋_GBK"/>
          <w:bCs/>
          <w:kern w:val="0"/>
          <w:sz w:val="36"/>
          <w:szCs w:val="36"/>
          <w:lang w:eastAsia="zh-CN"/>
        </w:rPr>
        <w:t>2022年</w:t>
      </w:r>
      <w:r>
        <w:rPr>
          <w:rFonts w:eastAsia="方正小标宋_GBK"/>
          <w:bCs/>
          <w:kern w:val="0"/>
          <w:sz w:val="36"/>
          <w:szCs w:val="36"/>
        </w:rPr>
        <w:t>部门预算表</w:t>
      </w:r>
    </w:p>
    <w:sectPr>
      <w:footerReference r:id="rId3" w:type="default"/>
      <w:footerReference r:id="rId4" w:type="even"/>
      <w:pgSz w:w="11907" w:h="16840"/>
      <w:pgMar w:top="1134" w:right="1797" w:bottom="1304" w:left="1797" w:header="851" w:footer="992" w:gutter="0"/>
      <w:cols w:space="720" w:num="1"/>
      <w:docGrid w:type="linesAndChars" w:linePitch="495" w:charSpace="-5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642B6E"/>
    <w:multiLevelType w:val="singleLevel"/>
    <w:tmpl w:val="03642B6E"/>
    <w:lvl w:ilvl="0" w:tentative="0">
      <w:start w:val="1"/>
      <w:numFmt w:val="chineseCounting"/>
      <w:suff w:val="nothing"/>
      <w:lvlText w:val="（%1）"/>
      <w:lvlJc w:val="left"/>
      <w:rPr>
        <w:rFonts w:hint="eastAsia"/>
      </w:rPr>
    </w:lvl>
  </w:abstractNum>
  <w:abstractNum w:abstractNumId="1">
    <w:nsid w:val="3ED77529"/>
    <w:multiLevelType w:val="multilevel"/>
    <w:tmpl w:val="3ED77529"/>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Dg3M2ViZGRlODQ2MTk2MTU0ZjEzNzZkZGY5MmUifQ=="/>
  </w:docVars>
  <w:rsids>
    <w:rsidRoot w:val="00F947F0"/>
    <w:rsid w:val="00001712"/>
    <w:rsid w:val="000153CF"/>
    <w:rsid w:val="000460C6"/>
    <w:rsid w:val="00053CAC"/>
    <w:rsid w:val="0005772A"/>
    <w:rsid w:val="00092386"/>
    <w:rsid w:val="0009549E"/>
    <w:rsid w:val="000C169D"/>
    <w:rsid w:val="000C34A8"/>
    <w:rsid w:val="000E4464"/>
    <w:rsid w:val="000E7E83"/>
    <w:rsid w:val="000F122D"/>
    <w:rsid w:val="000F1AE6"/>
    <w:rsid w:val="0011067B"/>
    <w:rsid w:val="00112564"/>
    <w:rsid w:val="0012612A"/>
    <w:rsid w:val="001277DB"/>
    <w:rsid w:val="0014469F"/>
    <w:rsid w:val="00151067"/>
    <w:rsid w:val="00194281"/>
    <w:rsid w:val="001A722D"/>
    <w:rsid w:val="001B2201"/>
    <w:rsid w:val="001B40A6"/>
    <w:rsid w:val="001D5D9C"/>
    <w:rsid w:val="00202517"/>
    <w:rsid w:val="00204DF7"/>
    <w:rsid w:val="00211A10"/>
    <w:rsid w:val="002375EE"/>
    <w:rsid w:val="002473FE"/>
    <w:rsid w:val="00261A74"/>
    <w:rsid w:val="002907B7"/>
    <w:rsid w:val="00291581"/>
    <w:rsid w:val="002A3A1B"/>
    <w:rsid w:val="002C2F37"/>
    <w:rsid w:val="002C31A6"/>
    <w:rsid w:val="002C6EDD"/>
    <w:rsid w:val="002F4545"/>
    <w:rsid w:val="00305B43"/>
    <w:rsid w:val="00321952"/>
    <w:rsid w:val="00334CF4"/>
    <w:rsid w:val="00350B2A"/>
    <w:rsid w:val="00352C7A"/>
    <w:rsid w:val="00360DDA"/>
    <w:rsid w:val="00363566"/>
    <w:rsid w:val="00373263"/>
    <w:rsid w:val="003734B2"/>
    <w:rsid w:val="003750F2"/>
    <w:rsid w:val="00376202"/>
    <w:rsid w:val="00394547"/>
    <w:rsid w:val="003A09E0"/>
    <w:rsid w:val="003D1692"/>
    <w:rsid w:val="003D29EF"/>
    <w:rsid w:val="004133F4"/>
    <w:rsid w:val="00414270"/>
    <w:rsid w:val="00422990"/>
    <w:rsid w:val="00425148"/>
    <w:rsid w:val="00427396"/>
    <w:rsid w:val="0048232E"/>
    <w:rsid w:val="004A4B5F"/>
    <w:rsid w:val="004A7A20"/>
    <w:rsid w:val="004A7DE6"/>
    <w:rsid w:val="004C2937"/>
    <w:rsid w:val="004D0BA6"/>
    <w:rsid w:val="004F2317"/>
    <w:rsid w:val="005264EC"/>
    <w:rsid w:val="005373FA"/>
    <w:rsid w:val="00540119"/>
    <w:rsid w:val="00556D03"/>
    <w:rsid w:val="00557F16"/>
    <w:rsid w:val="00572C36"/>
    <w:rsid w:val="0058338E"/>
    <w:rsid w:val="00584FFD"/>
    <w:rsid w:val="00586F08"/>
    <w:rsid w:val="00594F66"/>
    <w:rsid w:val="00597E81"/>
    <w:rsid w:val="005C0793"/>
    <w:rsid w:val="005C2DBA"/>
    <w:rsid w:val="005D1447"/>
    <w:rsid w:val="005D6732"/>
    <w:rsid w:val="005E0995"/>
    <w:rsid w:val="005F4481"/>
    <w:rsid w:val="006013D3"/>
    <w:rsid w:val="006024B3"/>
    <w:rsid w:val="0067368B"/>
    <w:rsid w:val="006902FF"/>
    <w:rsid w:val="006920CE"/>
    <w:rsid w:val="00697524"/>
    <w:rsid w:val="006976C0"/>
    <w:rsid w:val="006A42A1"/>
    <w:rsid w:val="006B17B0"/>
    <w:rsid w:val="006B1D11"/>
    <w:rsid w:val="006C051D"/>
    <w:rsid w:val="006D0E53"/>
    <w:rsid w:val="006F10C6"/>
    <w:rsid w:val="006F6CEF"/>
    <w:rsid w:val="00721FB1"/>
    <w:rsid w:val="007258EF"/>
    <w:rsid w:val="00746291"/>
    <w:rsid w:val="007504E7"/>
    <w:rsid w:val="00766703"/>
    <w:rsid w:val="00771697"/>
    <w:rsid w:val="00775E79"/>
    <w:rsid w:val="00781DAB"/>
    <w:rsid w:val="007831DC"/>
    <w:rsid w:val="007868AB"/>
    <w:rsid w:val="00787BDE"/>
    <w:rsid w:val="00790E30"/>
    <w:rsid w:val="007A09E3"/>
    <w:rsid w:val="007B02E6"/>
    <w:rsid w:val="007D2A19"/>
    <w:rsid w:val="007E0B48"/>
    <w:rsid w:val="008442F7"/>
    <w:rsid w:val="00844EE7"/>
    <w:rsid w:val="008606C3"/>
    <w:rsid w:val="008A1A21"/>
    <w:rsid w:val="008C150B"/>
    <w:rsid w:val="008D036A"/>
    <w:rsid w:val="008E64EB"/>
    <w:rsid w:val="008F4A7E"/>
    <w:rsid w:val="00915052"/>
    <w:rsid w:val="00915B45"/>
    <w:rsid w:val="00916F4D"/>
    <w:rsid w:val="0094364E"/>
    <w:rsid w:val="0095690B"/>
    <w:rsid w:val="00957690"/>
    <w:rsid w:val="009616BF"/>
    <w:rsid w:val="00965491"/>
    <w:rsid w:val="00986BE9"/>
    <w:rsid w:val="00990355"/>
    <w:rsid w:val="009B55F2"/>
    <w:rsid w:val="009D6CDD"/>
    <w:rsid w:val="009E74EC"/>
    <w:rsid w:val="009F7EFC"/>
    <w:rsid w:val="00A04236"/>
    <w:rsid w:val="00A15EE9"/>
    <w:rsid w:val="00A26331"/>
    <w:rsid w:val="00A26F91"/>
    <w:rsid w:val="00A7228A"/>
    <w:rsid w:val="00AD1617"/>
    <w:rsid w:val="00AD223D"/>
    <w:rsid w:val="00AD3446"/>
    <w:rsid w:val="00AD682D"/>
    <w:rsid w:val="00AD7CAD"/>
    <w:rsid w:val="00AF4EDE"/>
    <w:rsid w:val="00AF57FD"/>
    <w:rsid w:val="00AF66CB"/>
    <w:rsid w:val="00B01176"/>
    <w:rsid w:val="00B07380"/>
    <w:rsid w:val="00B15BF1"/>
    <w:rsid w:val="00B23414"/>
    <w:rsid w:val="00B308A3"/>
    <w:rsid w:val="00B340A2"/>
    <w:rsid w:val="00B44F99"/>
    <w:rsid w:val="00B55CF0"/>
    <w:rsid w:val="00B61CE3"/>
    <w:rsid w:val="00B81DAF"/>
    <w:rsid w:val="00B83106"/>
    <w:rsid w:val="00B944D8"/>
    <w:rsid w:val="00B95545"/>
    <w:rsid w:val="00BA23B1"/>
    <w:rsid w:val="00BC09F3"/>
    <w:rsid w:val="00BC19FC"/>
    <w:rsid w:val="00C06F22"/>
    <w:rsid w:val="00C10046"/>
    <w:rsid w:val="00C145C2"/>
    <w:rsid w:val="00C1788F"/>
    <w:rsid w:val="00C22FF2"/>
    <w:rsid w:val="00C2380B"/>
    <w:rsid w:val="00C31834"/>
    <w:rsid w:val="00C4194A"/>
    <w:rsid w:val="00C51028"/>
    <w:rsid w:val="00C56F1B"/>
    <w:rsid w:val="00C6274C"/>
    <w:rsid w:val="00C710F0"/>
    <w:rsid w:val="00C7161B"/>
    <w:rsid w:val="00C72B2E"/>
    <w:rsid w:val="00C803CA"/>
    <w:rsid w:val="00C826ED"/>
    <w:rsid w:val="00C91AB3"/>
    <w:rsid w:val="00CB162E"/>
    <w:rsid w:val="00CB596D"/>
    <w:rsid w:val="00CD0B53"/>
    <w:rsid w:val="00CD5B66"/>
    <w:rsid w:val="00CF380C"/>
    <w:rsid w:val="00D0321A"/>
    <w:rsid w:val="00D15A9D"/>
    <w:rsid w:val="00D16F40"/>
    <w:rsid w:val="00D27554"/>
    <w:rsid w:val="00D35C74"/>
    <w:rsid w:val="00D4092B"/>
    <w:rsid w:val="00D521AE"/>
    <w:rsid w:val="00D66585"/>
    <w:rsid w:val="00D86B62"/>
    <w:rsid w:val="00D878A5"/>
    <w:rsid w:val="00DA3F53"/>
    <w:rsid w:val="00DA4B82"/>
    <w:rsid w:val="00DC4C91"/>
    <w:rsid w:val="00DE2296"/>
    <w:rsid w:val="00E02D16"/>
    <w:rsid w:val="00E21E42"/>
    <w:rsid w:val="00E31169"/>
    <w:rsid w:val="00E3772E"/>
    <w:rsid w:val="00E37F88"/>
    <w:rsid w:val="00E4277D"/>
    <w:rsid w:val="00E43455"/>
    <w:rsid w:val="00E53026"/>
    <w:rsid w:val="00E605C0"/>
    <w:rsid w:val="00E7072E"/>
    <w:rsid w:val="00E90CA8"/>
    <w:rsid w:val="00E97AE6"/>
    <w:rsid w:val="00EA4B43"/>
    <w:rsid w:val="00EE0784"/>
    <w:rsid w:val="00EE27BE"/>
    <w:rsid w:val="00EF78CC"/>
    <w:rsid w:val="00F00CF3"/>
    <w:rsid w:val="00F046B7"/>
    <w:rsid w:val="00F07E45"/>
    <w:rsid w:val="00F203EB"/>
    <w:rsid w:val="00F20835"/>
    <w:rsid w:val="00F545D6"/>
    <w:rsid w:val="00F56BB7"/>
    <w:rsid w:val="00F947F0"/>
    <w:rsid w:val="00FA1FCF"/>
    <w:rsid w:val="00FD4B9B"/>
    <w:rsid w:val="00FD5E2E"/>
    <w:rsid w:val="00FD6E33"/>
    <w:rsid w:val="00FF6EED"/>
    <w:rsid w:val="01A33082"/>
    <w:rsid w:val="092C2C5E"/>
    <w:rsid w:val="0AB02DEE"/>
    <w:rsid w:val="1307310A"/>
    <w:rsid w:val="13DE0089"/>
    <w:rsid w:val="1BDA5478"/>
    <w:rsid w:val="1C9535CC"/>
    <w:rsid w:val="206170B5"/>
    <w:rsid w:val="219476A4"/>
    <w:rsid w:val="295A6E90"/>
    <w:rsid w:val="2A773A1D"/>
    <w:rsid w:val="2ADB7D7A"/>
    <w:rsid w:val="2D860546"/>
    <w:rsid w:val="30E516A2"/>
    <w:rsid w:val="31310E25"/>
    <w:rsid w:val="334A7BCB"/>
    <w:rsid w:val="33A83979"/>
    <w:rsid w:val="36FB6C11"/>
    <w:rsid w:val="3CF205A7"/>
    <w:rsid w:val="3D9F010B"/>
    <w:rsid w:val="4055331D"/>
    <w:rsid w:val="43506FF2"/>
    <w:rsid w:val="44607519"/>
    <w:rsid w:val="46054BCA"/>
    <w:rsid w:val="4EE22343"/>
    <w:rsid w:val="4EE607D5"/>
    <w:rsid w:val="51F5181F"/>
    <w:rsid w:val="56C17425"/>
    <w:rsid w:val="5C5B5A07"/>
    <w:rsid w:val="64021955"/>
    <w:rsid w:val="647D7502"/>
    <w:rsid w:val="6EFB2265"/>
    <w:rsid w:val="79EA058F"/>
    <w:rsid w:val="7ACE6F5B"/>
    <w:rsid w:val="7DEA59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34"/>
    </w:pPr>
    <w:rPr>
      <w:rFonts w:eastAsia="仿宋_GB2312"/>
    </w:r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 w:type="character" w:styleId="10">
    <w:name w:val="Hyperlink"/>
    <w:qFormat/>
    <w:uiPriority w:val="0"/>
    <w:rPr>
      <w:color w:val="0000FF"/>
      <w:u w:val="single"/>
    </w:rPr>
  </w:style>
  <w:style w:type="character" w:customStyle="1" w:styleId="11">
    <w:name w:val="批注框文本 Char"/>
    <w:link w:val="3"/>
    <w:uiPriority w:val="0"/>
    <w:rPr>
      <w:kern w:val="2"/>
      <w:sz w:val="18"/>
      <w:szCs w:val="18"/>
    </w:rPr>
  </w:style>
  <w:style w:type="character" w:customStyle="1" w:styleId="12">
    <w:name w:val="页眉 Char"/>
    <w:link w:val="5"/>
    <w:qFormat/>
    <w:uiPriority w:val="0"/>
    <w:rPr>
      <w:kern w:val="2"/>
      <w:sz w:val="18"/>
      <w:szCs w:val="18"/>
    </w:rPr>
  </w:style>
  <w:style w:type="paragraph" w:customStyle="1" w:styleId="13">
    <w:name w:val=" Char Char Char Char Char Char1"/>
    <w:basedOn w:val="1"/>
    <w:qFormat/>
    <w:uiPriority w:val="0"/>
    <w:rPr>
      <w:rFonts w:ascii="Tahoma" w:hAnsi="Tahoma"/>
      <w:sz w:val="24"/>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8</Pages>
  <Words>3680</Words>
  <Characters>3872</Characters>
  <Lines>30</Lines>
  <Paragraphs>8</Paragraphs>
  <TotalTime>1</TotalTime>
  <ScaleCrop>false</ScaleCrop>
  <LinksUpToDate>false</LinksUpToDate>
  <CharactersWithSpaces>3882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2021-02-22T00:31:00Z</dcterms:created>
  <dc:creator>朱娜</dc:creator>
  <cp:lastModifiedBy>tmy</cp:lastModifiedBy>
  <cp:lastPrinted>2021-03-08T07:47:00Z</cp:lastPrinted>
  <dcterms:modified xsi:type="dcterms:W3CDTF">2023-10-09T08:01:18Z</dcterms:modified>
  <dc:title>湖南省财政厅处室便函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7327D5770D9E4A60B610F723722CDA8E</vt:lpwstr>
  </property>
</Properties>
</file>