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ascii="仿宋" w:hAnsi="仿宋" w:eastAsia="仿宋" w:cs="仿宋"/>
          <w:b/>
          <w:bCs/>
          <w:sz w:val="32"/>
          <w:szCs w:val="32"/>
          <w:shd w:val="clear" w:color="auto" w:fill="FFFFFF"/>
        </w:rPr>
      </w:pPr>
      <w:r>
        <w:rPr>
          <w:rFonts w:ascii="仿宋" w:hAnsi="仿宋" w:eastAsia="仿宋" w:cs="仿宋"/>
          <w:b/>
          <w:bCs/>
          <w:sz w:val="32"/>
          <w:szCs w:val="32"/>
          <w:shd w:val="clear" w:color="auto" w:fill="FFFFFF"/>
        </w:rPr>
        <w:t>关于</w:t>
      </w:r>
      <w:r>
        <w:rPr>
          <w:rFonts w:hint="eastAsia" w:ascii="仿宋" w:hAnsi="仿宋" w:eastAsia="仿宋" w:cs="仿宋"/>
          <w:b/>
          <w:bCs/>
          <w:sz w:val="32"/>
          <w:szCs w:val="32"/>
          <w:shd w:val="clear" w:color="auto" w:fill="FFFFFF"/>
        </w:rPr>
        <w:t>2020年度预算绩效情况的说明</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本部门预算绩效管理开展情况、绩效目标和绩效评价报告等……（按照财政绩效部门要求已公开或其他有关部门要求需随同部门决算一同公开的绩效信息，请作为附件公开）</w:t>
      </w:r>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一、部门基本情况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（一）机构设置：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沅江市园林绿化服务中心系城市管理综合执法局下属差额拨款性质的副科级事业单位。</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（二）人员情况：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现有干职工54人（其中，退休17人，在职37人），内设办公室、财务股、园林建设股、园林管理股及园林监察股五个股室。</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三）主要职能</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一、认真贯彻上级关于园林绿化管理工作的法律法规，并监督检查执行情况；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二、根据城市建设总体规划，负责制定和组织实施城区园林绿化工作中长期规划和年度计划；</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三、负责城市雕塑的规划建设和管理，会同有关部门负责风景名胜区的审定报批及规划建设和管理；</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四、指导和协助市直各单位搞好庭院绿化工作；负责全市建制镇的绿化规划及技术指导工作；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五、负责园林花卉的培育，为城市绿化提供服务；</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六、负责全市古树名木、名胜古迹的保护和管理，负责各单位庭院绿化和古树名木保护的技术指导；</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七、负责公园的行政管理和业务指导；</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八、协助有关部门搞好城市义务植树工作；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九、完成市委、市人民政府和市城市执法局交办的其他工作。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二、部门整体支出使用情况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（一）基本支出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2020年度一般公共预算财政拨款基本支出538.528万元，其中人员经费支出427.532万元，主要包括：基本工资、津贴补贴、社会保障缴费、基本养老保险缴费和对个人和家庭的补助；公用经费支出 110.996万元。主要包括：办公费、印刷费;资本性支出0万元，主要用于办公设备购置。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（二）项目支出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政府性基金预算财政拨款支出460万元，其中：项目支出460万元，占基金支出的100%。</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三、部门整体支出管理情况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总的来说，我中心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四、部门整体支出绩效情况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根据市财政局要求，我中心以绩效评估为契机，认真对照评估指标，按照年度工作计划扎实推进2020年度财政支出绩效自评工作。总的来说，2020年我中心全体干职工积极履职、扎实工作，较好完成了全年工作目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1、切实加强班子及骨干学习，提高综合素质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（一）强化政治理论学习。通过“两学一做”学习教育</w:t>
      </w:r>
      <w:bookmarkStart w:id="0" w:name="_GoBack"/>
      <w:bookmarkEnd w:id="0"/>
      <w:r>
        <w:rPr>
          <w:rFonts w:hint="eastAsia" w:ascii="仿宋" w:hAnsi="仿宋" w:eastAsia="仿宋" w:cs="仿宋"/>
          <w:kern w:val="0"/>
          <w:sz w:val="32"/>
          <w:szCs w:val="32"/>
          <w:shd w:val="clear" w:color="auto" w:fill="FFFFFF"/>
          <w:lang w:bidi="ar"/>
        </w:rPr>
        <w:t>的集中学习和自学等形式，认真学习了党的十八大会议精神，习近平总书记系列重要讲话精神，增强了工作的主动性、预见性和贯彻落实党的各项方针政策的自觉性，坚定了为人民群众服好务的信心和决心。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（二）注重业务、管理和相关法律法规等知识的学习，促进了自身思想水平和工作技能的提高，提高了解决、处理复杂问题的能力，提升了依法行政、科学行政水平。</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2、真抓实干，注重实效，促进园林事业不断提升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（一）夯实基础，创新举措，城区绿化环境、市容卫生质量稳定提升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根据城市管理“长效化、规范化、精细化、市场化”的发展方向，不断完善城区园林环境卫生作业与管理机制。加强督查考核，建立日常督查与定期考核机制，对绿地清扫保洁等作业项目实行精细化管理，严格按照制度的有关规定，奖优罚劣，促使城区绿化环境质量稳定提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（二）超前谋划，精心部署，有计划的逐步更新绿化设施设备、淘汰落后。</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（三）加大了宣传力度，及时处理反馈信息，为民服务质量提升。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3、政工人事工作稳步推进，成绩显著</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扎实推进人事制度改革，不断完善干部职工人事信息，使干部职工人事档案管理工作规范化。依据人事部门的相关文件，制定园林中心岗位设定方案，及时调整中心干职工岗位晋升、技术职称考核合格人员的薪级工资。依照中心总支决议，制定中心绩效考核制度，请假制度等，规范并严格中心作风建设。</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4、以人为本，工会活动聚人心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工会工作在市总工会的正确领导和中心总支的全力支持下，积极转变角色，以服务广大干职工为宗旨，组织职工参加丰富多彩的职工文体活动。传统节假日，工会委员不辞劳苦，为中心干职工、退休职工发放慰问物资，并为行动不方便的老职工送物资、送温暖上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5、立足岗位抓党建促生产，党建工作有声有色</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园林中心在市直机关工委和局党组的领导下，坚持以邓小平理论和“三个代表”重要思想为指导，深入贯彻落实科学发展观，贯彻落实党的十八大、十八届三中、四中、五中、六中全会精神，坚持“立足岗位抓党建促生产”指导思想，积极开展“两学一做”学习教育，严抓党建工作，紧紧围绕中心工作，以加强基层组织建设为抓手，以创建学习型党组织、努力实现园林队伍整体素质新提高，不断加强党的思想、组织、作风、制度建设和反腐倡廉建设，充分发挥党支部的战斗堡垒作用和党员的先锋模范作用，园林管理、队伍建设和其他各项工作得到不断提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五、部门整体支出绩效评价指标分析及有关建议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通过认真对照《2020年部门整体支出绩效评价指标表》开展自评，我中心在“投入”、“过程”、“产出”、“效果”等方面都执行较好，自评得分91分。扣分的原因主要是：资金预算编制不够细化，部分项目管理不到位，公益性和创新性项目比例较低，社会公众满意度一般等。</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进一步完善、明确和细化各项费用支出管理制度，严格控制招待费和各项费用支出。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加强固定资产的管理，配置专管部门和专管人员，建立固定资产卡片，切实做到账卡相符、账物相符。</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加强内部管理，增强有效控制力。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132E6C"/>
    <w:rsid w:val="00132E6C"/>
    <w:rsid w:val="001F5027"/>
    <w:rsid w:val="00425418"/>
    <w:rsid w:val="00533F30"/>
    <w:rsid w:val="00676257"/>
    <w:rsid w:val="00DF239E"/>
    <w:rsid w:val="00E44C82"/>
    <w:rsid w:val="00F20266"/>
    <w:rsid w:val="06E547A0"/>
    <w:rsid w:val="0D002E1D"/>
    <w:rsid w:val="15BB37EC"/>
    <w:rsid w:val="44BA5501"/>
    <w:rsid w:val="4DAD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2339</Words>
  <Characters>2386</Characters>
  <Lines>17</Lines>
  <Paragraphs>4</Paragraphs>
  <TotalTime>0</TotalTime>
  <ScaleCrop>false</ScaleCrop>
  <LinksUpToDate>false</LinksUpToDate>
  <CharactersWithSpaces>2399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2022-09-01T08:27:00Z</dcterms:created>
  <dc:creator>tangh</dc:creator>
  <cp:lastModifiedBy>tmy</cp:lastModifiedBy>
  <dcterms:modified xsi:type="dcterms:W3CDTF">2023-10-09T03:49:04Z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695B07D400E94C12B84387253209A900_12</vt:lpwstr>
  </property>
</Properties>
</file>